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tLeast"/>
        <w:jc w:val="center"/>
        <w:rPr>
          <w:rFonts w:ascii="宋体" w:hAnsi="宋体" w:eastAsia="宋体" w:cs="宋体"/>
          <w:color w:val="333333"/>
          <w:kern w:val="0"/>
          <w:sz w:val="24"/>
          <w:szCs w:val="24"/>
        </w:rPr>
      </w:pPr>
      <w:r>
        <w:rPr>
          <w:rFonts w:hint="eastAsia" w:ascii="仿宋" w:hAnsi="仿宋" w:eastAsia="仿宋" w:cs="宋体"/>
          <w:b/>
          <w:bCs/>
          <w:color w:val="333333"/>
          <w:kern w:val="0"/>
          <w:sz w:val="48"/>
          <w:lang w:val="en-US" w:eastAsia="zh-CN"/>
        </w:rPr>
        <w:t>龙川县东风西路（兴泰花园段）道路改造项</w:t>
      </w:r>
      <w:r>
        <w:rPr>
          <w:rFonts w:hint="eastAsia" w:ascii="仿宋" w:hAnsi="仿宋" w:eastAsia="仿宋" w:cs="宋体"/>
          <w:b/>
          <w:bCs/>
          <w:color w:val="333333"/>
          <w:kern w:val="0"/>
          <w:sz w:val="48"/>
        </w:rPr>
        <w:t>目房屋征收与补偿方案</w:t>
      </w:r>
    </w:p>
    <w:p>
      <w:pPr>
        <w:widowControl/>
        <w:shd w:val="clear" w:color="auto" w:fill="FFFFFF"/>
        <w:spacing w:line="480"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44"/>
        </w:rPr>
        <w:t>（征求意见稿）</w:t>
      </w: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left"/>
        <w:rPr>
          <w:rFonts w:hint="eastAsia" w:ascii="宋体" w:hAnsi="宋体" w:eastAsia="宋体" w:cs="宋体"/>
          <w:color w:val="333333"/>
          <w:kern w:val="0"/>
          <w:sz w:val="24"/>
          <w:szCs w:val="24"/>
        </w:rPr>
      </w:pPr>
    </w:p>
    <w:p>
      <w:pPr>
        <w:widowControl/>
        <w:shd w:val="clear" w:color="auto" w:fill="FFFFFF"/>
        <w:spacing w:line="360" w:lineRule="atLeast"/>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360" w:lineRule="atLeast"/>
        <w:jc w:val="center"/>
        <w:rPr>
          <w:rFonts w:hint="eastAsia" w:ascii="宋体" w:hAnsi="宋体" w:eastAsia="宋体" w:cs="宋体"/>
          <w:color w:val="333333"/>
          <w:kern w:val="0"/>
          <w:sz w:val="24"/>
          <w:szCs w:val="24"/>
        </w:rPr>
      </w:pPr>
    </w:p>
    <w:p>
      <w:pPr>
        <w:widowControl/>
        <w:shd w:val="clear" w:color="auto" w:fill="FFFFFF"/>
        <w:spacing w:line="480" w:lineRule="atLeast"/>
        <w:jc w:val="center"/>
        <w:rPr>
          <w:rFonts w:hint="eastAsia" w:ascii="宋体" w:hAnsi="宋体" w:eastAsia="宋体" w:cs="宋体"/>
          <w:color w:val="333333"/>
          <w:kern w:val="0"/>
          <w:sz w:val="24"/>
          <w:szCs w:val="24"/>
        </w:rPr>
      </w:pPr>
      <w:r>
        <w:rPr>
          <w:rFonts w:hint="eastAsia" w:ascii="仿宋" w:hAnsi="仿宋" w:eastAsia="仿宋" w:cs="宋体"/>
          <w:b/>
          <w:bCs/>
          <w:color w:val="333333"/>
          <w:kern w:val="0"/>
          <w:sz w:val="28"/>
        </w:rPr>
        <w:t>委托单位：龙川县自然资源局</w:t>
      </w:r>
    </w:p>
    <w:p>
      <w:pPr>
        <w:widowControl/>
        <w:shd w:val="clear" w:color="auto" w:fill="FFFFFF"/>
        <w:spacing w:line="480" w:lineRule="atLeast"/>
        <w:jc w:val="center"/>
        <w:rPr>
          <w:rFonts w:hint="eastAsia" w:ascii="仿宋" w:hAnsi="仿宋" w:eastAsia="仿宋" w:cs="宋体"/>
          <w:b/>
          <w:bCs/>
          <w:color w:val="333333"/>
          <w:kern w:val="0"/>
          <w:sz w:val="28"/>
          <w:lang w:val="en-US" w:eastAsia="zh-CN"/>
        </w:rPr>
      </w:pPr>
      <w:r>
        <w:rPr>
          <w:rFonts w:hint="eastAsia" w:ascii="仿宋" w:hAnsi="仿宋" w:eastAsia="仿宋" w:cs="宋体"/>
          <w:b/>
          <w:bCs/>
          <w:color w:val="333333"/>
          <w:kern w:val="0"/>
          <w:sz w:val="28"/>
        </w:rPr>
        <w:t>编制单位：</w:t>
      </w:r>
      <w:r>
        <w:rPr>
          <w:rFonts w:hint="eastAsia" w:ascii="仿宋" w:hAnsi="仿宋" w:eastAsia="仿宋" w:cs="宋体"/>
          <w:b/>
          <w:bCs/>
          <w:color w:val="333333"/>
          <w:kern w:val="0"/>
          <w:sz w:val="28"/>
          <w:lang w:val="en-US" w:eastAsia="zh-CN"/>
        </w:rPr>
        <w:t>深圳市世鹏资产评估房地产土地估价顾问有限公司</w:t>
      </w:r>
    </w:p>
    <w:p>
      <w:pPr>
        <w:widowControl/>
        <w:shd w:val="clear" w:color="auto" w:fill="FFFFFF"/>
        <w:spacing w:line="480" w:lineRule="atLeast"/>
        <w:jc w:val="center"/>
        <w:rPr>
          <w:rFonts w:hint="eastAsia" w:ascii="仿宋" w:hAnsi="仿宋" w:eastAsia="仿宋" w:cs="宋体"/>
          <w:b/>
          <w:bCs/>
          <w:color w:val="333333"/>
          <w:kern w:val="0"/>
          <w:sz w:val="28"/>
        </w:rPr>
      </w:pPr>
      <w:r>
        <w:rPr>
          <w:rFonts w:hint="eastAsia" w:ascii="仿宋" w:hAnsi="仿宋" w:eastAsia="仿宋" w:cs="宋体"/>
          <w:b/>
          <w:bCs/>
          <w:color w:val="333333"/>
          <w:kern w:val="0"/>
          <w:sz w:val="28"/>
        </w:rPr>
        <w:t>编制时间：二〇二</w:t>
      </w:r>
      <w:r>
        <w:rPr>
          <w:rFonts w:hint="eastAsia" w:ascii="仿宋" w:hAnsi="仿宋" w:eastAsia="仿宋" w:cs="宋体"/>
          <w:b/>
          <w:bCs/>
          <w:color w:val="333333"/>
          <w:kern w:val="0"/>
          <w:sz w:val="28"/>
          <w:lang w:val="en-US" w:eastAsia="zh-CN"/>
        </w:rPr>
        <w:t>三</w:t>
      </w:r>
      <w:r>
        <w:rPr>
          <w:rFonts w:hint="eastAsia" w:ascii="仿宋" w:hAnsi="仿宋" w:eastAsia="仿宋" w:cs="宋体"/>
          <w:b/>
          <w:bCs/>
          <w:color w:val="333333"/>
          <w:kern w:val="0"/>
          <w:sz w:val="28"/>
        </w:rPr>
        <w:t>年</w:t>
      </w:r>
      <w:r>
        <w:rPr>
          <w:rFonts w:hint="eastAsia" w:ascii="仿宋" w:hAnsi="仿宋" w:eastAsia="仿宋" w:cs="宋体"/>
          <w:b/>
          <w:bCs/>
          <w:color w:val="333333"/>
          <w:kern w:val="0"/>
          <w:sz w:val="28"/>
          <w:lang w:val="en-US" w:eastAsia="zh-CN"/>
        </w:rPr>
        <w:t>十</w:t>
      </w:r>
      <w:r>
        <w:rPr>
          <w:rFonts w:hint="eastAsia" w:ascii="仿宋" w:hAnsi="仿宋" w:eastAsia="仿宋" w:cs="宋体"/>
          <w:b/>
          <w:bCs/>
          <w:color w:val="333333"/>
          <w:kern w:val="0"/>
          <w:sz w:val="28"/>
        </w:rPr>
        <w:t>二月</w:t>
      </w:r>
    </w:p>
    <w:p>
      <w:pPr>
        <w:widowControl/>
        <w:shd w:val="clear" w:color="auto" w:fill="FFFFFF"/>
        <w:spacing w:line="480" w:lineRule="atLeast"/>
        <w:jc w:val="center"/>
        <w:rPr>
          <w:rFonts w:hint="eastAsia" w:ascii="仿宋" w:hAnsi="仿宋" w:eastAsia="仿宋" w:cs="宋体"/>
          <w:b/>
          <w:bCs/>
          <w:color w:val="333333"/>
          <w:kern w:val="0"/>
          <w:sz w:val="28"/>
        </w:rPr>
      </w:pPr>
    </w:p>
    <w:p>
      <w:pPr>
        <w:widowControl/>
        <w:shd w:val="clear" w:color="auto" w:fill="FFFFFF"/>
        <w:spacing w:line="480" w:lineRule="atLeast"/>
        <w:jc w:val="center"/>
        <w:rPr>
          <w:rFonts w:hint="eastAsia" w:ascii="仿宋" w:hAnsi="仿宋" w:eastAsia="仿宋" w:cs="宋体"/>
          <w:b/>
          <w:bCs/>
          <w:color w:val="333333"/>
          <w:kern w:val="0"/>
          <w:sz w:val="28"/>
        </w:rPr>
        <w:sectPr>
          <w:pgSz w:w="11906" w:h="16838"/>
          <w:pgMar w:top="1440" w:right="1800" w:bottom="1440" w:left="1800" w:header="851" w:footer="992" w:gutter="0"/>
          <w:cols w:space="425" w:num="1"/>
          <w:docGrid w:type="lines" w:linePitch="312" w:charSpace="0"/>
        </w:sect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723" w:firstLineChars="200"/>
        <w:jc w:val="center"/>
        <w:textAlignment w:val="center"/>
        <w:rPr>
          <w:rFonts w:hint="eastAsia" w:ascii="宋体" w:hAnsi="宋体" w:eastAsia="宋体" w:cs="宋体"/>
          <w:color w:val="333333"/>
          <w:kern w:val="0"/>
          <w:sz w:val="24"/>
          <w:szCs w:val="24"/>
        </w:rPr>
      </w:pPr>
      <w:bookmarkStart w:id="0" w:name="_Toc365886285"/>
      <w:bookmarkEnd w:id="0"/>
      <w:bookmarkStart w:id="1" w:name="_Toc13095"/>
      <w:bookmarkEnd w:id="1"/>
      <w:bookmarkStart w:id="2" w:name="_Toc396227887"/>
      <w:bookmarkEnd w:id="2"/>
      <w:bookmarkStart w:id="3" w:name="_Toc30369"/>
      <w:bookmarkEnd w:id="3"/>
      <w:bookmarkStart w:id="4" w:name="_Toc8238"/>
      <w:bookmarkEnd w:id="4"/>
      <w:bookmarkStart w:id="5" w:name="_Toc482714413"/>
      <w:bookmarkEnd w:id="5"/>
      <w:bookmarkStart w:id="6" w:name="_Toc20831"/>
      <w:bookmarkEnd w:id="6"/>
      <w:bookmarkStart w:id="7" w:name="_Toc12092"/>
      <w:bookmarkEnd w:id="7"/>
      <w:bookmarkStart w:id="8" w:name="_Toc1786"/>
      <w:bookmarkEnd w:id="8"/>
      <w:bookmarkStart w:id="9" w:name="_Toc488153831"/>
      <w:bookmarkEnd w:id="9"/>
      <w:r>
        <w:rPr>
          <w:rFonts w:hint="eastAsia" w:ascii="仿宋" w:hAnsi="仿宋" w:eastAsia="仿宋" w:cs="宋体"/>
          <w:b/>
          <w:bCs/>
          <w:color w:val="333333"/>
          <w:kern w:val="0"/>
          <w:sz w:val="36"/>
          <w:szCs w:val="36"/>
          <w:shd w:val="clear" w:color="auto" w:fill="FFFFFF"/>
          <w:lang w:val="en-US" w:eastAsia="zh-CN"/>
        </w:rPr>
        <w:t>一、</w:t>
      </w:r>
      <w:r>
        <w:rPr>
          <w:rFonts w:hint="eastAsia" w:ascii="仿宋" w:hAnsi="仿宋" w:eastAsia="仿宋" w:cs="宋体"/>
          <w:b/>
          <w:bCs/>
          <w:color w:val="333333"/>
          <w:kern w:val="0"/>
          <w:sz w:val="36"/>
          <w:szCs w:val="36"/>
          <w:shd w:val="clear" w:color="auto" w:fill="FFFFFF"/>
        </w:rPr>
        <w:t>总 则</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480" w:firstLineChars="200"/>
        <w:jc w:val="left"/>
        <w:rPr>
          <w:rFonts w:hint="eastAsia" w:ascii="宋体" w:hAnsi="宋体" w:eastAsia="宋体" w:cs="宋体"/>
          <w:color w:val="333333"/>
          <w:kern w:val="0"/>
          <w:sz w:val="24"/>
          <w:szCs w:val="24"/>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rPr>
          <w:rFonts w:hint="eastAsia" w:ascii="宋体" w:hAnsi="宋体" w:eastAsia="宋体" w:cs="宋体"/>
          <w:color w:val="333333"/>
          <w:kern w:val="0"/>
          <w:sz w:val="24"/>
          <w:szCs w:val="24"/>
        </w:rPr>
      </w:pPr>
      <w:bookmarkStart w:id="10" w:name="_Toc488153832"/>
      <w:bookmarkEnd w:id="10"/>
      <w:bookmarkStart w:id="11" w:name="_Toc27683"/>
      <w:bookmarkEnd w:id="11"/>
      <w:bookmarkStart w:id="12" w:name="_Toc31828"/>
      <w:bookmarkEnd w:id="12"/>
      <w:bookmarkStart w:id="13" w:name="_Toc12716"/>
      <w:bookmarkEnd w:id="13"/>
      <w:bookmarkStart w:id="14" w:name="_Toc482714414"/>
      <w:bookmarkEnd w:id="14"/>
      <w:bookmarkStart w:id="15" w:name="_Toc28222"/>
      <w:bookmarkEnd w:id="15"/>
      <w:bookmarkStart w:id="16" w:name="_Toc15919"/>
      <w:bookmarkEnd w:id="16"/>
      <w:bookmarkStart w:id="17" w:name="_Toc396227888"/>
      <w:bookmarkEnd w:id="17"/>
      <w:bookmarkStart w:id="18" w:name="_Toc27818"/>
      <w:bookmarkEnd w:id="18"/>
      <w:bookmarkStart w:id="19" w:name="_Toc17923"/>
      <w:bookmarkEnd w:id="19"/>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lang w:val="en-US" w:eastAsia="zh-CN"/>
        </w:rPr>
        <w:t>一）</w:t>
      </w:r>
      <w:r>
        <w:rPr>
          <w:rFonts w:hint="eastAsia" w:ascii="仿宋" w:hAnsi="仿宋" w:eastAsia="仿宋" w:cs="宋体"/>
          <w:color w:val="333333"/>
          <w:kern w:val="0"/>
          <w:sz w:val="28"/>
          <w:szCs w:val="28"/>
          <w:shd w:val="clear" w:color="auto" w:fill="FFFFFF"/>
        </w:rPr>
        <w:t>【目的和依据】</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rPr>
          <w:rFonts w:hint="eastAsia" w:ascii="宋体" w:hAnsi="宋体" w:eastAsia="宋体" w:cs="宋体"/>
          <w:i w:val="0"/>
          <w:iCs w:val="0"/>
          <w:caps w:val="0"/>
          <w:color w:val="000000"/>
          <w:spacing w:val="0"/>
          <w:sz w:val="24"/>
          <w:szCs w:val="24"/>
        </w:rPr>
      </w:pPr>
      <w:r>
        <w:rPr>
          <w:rFonts w:ascii="仿宋" w:hAnsi="仿宋" w:eastAsia="仿宋" w:cs="仿宋"/>
          <w:i w:val="0"/>
          <w:iCs w:val="0"/>
          <w:caps w:val="0"/>
          <w:color w:val="000000"/>
          <w:spacing w:val="0"/>
          <w:sz w:val="28"/>
          <w:szCs w:val="28"/>
          <w:shd w:val="clear" w:fill="FFFFFF"/>
          <w:lang w:eastAsia="zh-CN"/>
        </w:rPr>
        <w:t>龙川县东风西路（</w:t>
      </w:r>
      <w:r>
        <w:rPr>
          <w:rFonts w:hint="eastAsia" w:ascii="仿宋" w:hAnsi="仿宋" w:eastAsia="仿宋" w:cs="仿宋"/>
          <w:i w:val="0"/>
          <w:iCs w:val="0"/>
          <w:caps w:val="0"/>
          <w:color w:val="000000"/>
          <w:spacing w:val="0"/>
          <w:sz w:val="28"/>
          <w:szCs w:val="28"/>
          <w:shd w:val="clear" w:fill="FFFFFF"/>
          <w:lang w:val="en-US" w:eastAsia="zh-CN"/>
        </w:rPr>
        <w:t>兴泰花园</w:t>
      </w:r>
      <w:r>
        <w:rPr>
          <w:rFonts w:ascii="仿宋" w:hAnsi="仿宋" w:eastAsia="仿宋" w:cs="仿宋"/>
          <w:i w:val="0"/>
          <w:iCs w:val="0"/>
          <w:caps w:val="0"/>
          <w:color w:val="000000"/>
          <w:spacing w:val="0"/>
          <w:sz w:val="28"/>
          <w:szCs w:val="28"/>
          <w:shd w:val="clear" w:fill="FFFFFF"/>
          <w:lang w:eastAsia="zh-CN"/>
        </w:rPr>
        <w:t>段）道路改造</w:t>
      </w:r>
      <w:r>
        <w:rPr>
          <w:rFonts w:hint="eastAsia" w:ascii="仿宋" w:hAnsi="仿宋" w:eastAsia="仿宋" w:cs="仿宋"/>
          <w:i w:val="0"/>
          <w:iCs w:val="0"/>
          <w:caps w:val="0"/>
          <w:color w:val="000000"/>
          <w:spacing w:val="0"/>
          <w:sz w:val="28"/>
          <w:szCs w:val="28"/>
          <w:shd w:val="clear" w:fill="FFFFFF"/>
          <w:lang w:eastAsia="zh-CN"/>
        </w:rPr>
        <w:t>项目位于老隆镇老城区，东风西路旁。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8"/>
          <w:szCs w:val="28"/>
          <w:shd w:val="clear" w:fill="FFFFFF"/>
          <w:lang w:eastAsia="zh-CN"/>
        </w:rPr>
        <w:t>根据《国有土地上房屋征收与补偿条例》（国务院令第</w:t>
      </w:r>
      <w:r>
        <w:rPr>
          <w:rFonts w:hint="eastAsia" w:ascii="仿宋" w:hAnsi="仿宋" w:eastAsia="仿宋" w:cs="仿宋"/>
          <w:i w:val="0"/>
          <w:iCs w:val="0"/>
          <w:caps w:val="0"/>
          <w:color w:val="000000"/>
          <w:spacing w:val="0"/>
          <w:sz w:val="28"/>
          <w:szCs w:val="28"/>
          <w:shd w:val="clear" w:fill="FFFFFF"/>
          <w:lang w:val="en-US"/>
        </w:rPr>
        <w:t>590</w:t>
      </w:r>
      <w:r>
        <w:rPr>
          <w:rFonts w:hint="eastAsia" w:ascii="仿宋" w:hAnsi="仿宋" w:eastAsia="仿宋" w:cs="仿宋"/>
          <w:i w:val="0"/>
          <w:iCs w:val="0"/>
          <w:caps w:val="0"/>
          <w:color w:val="000000"/>
          <w:spacing w:val="0"/>
          <w:sz w:val="28"/>
          <w:szCs w:val="28"/>
          <w:shd w:val="clear" w:fill="FFFFFF"/>
          <w:lang w:eastAsia="zh-CN"/>
        </w:rPr>
        <w:t>号）《关于加强监督检查进一步规范征地拆迁行为的通知》（中纪办〔</w:t>
      </w:r>
      <w:r>
        <w:rPr>
          <w:rFonts w:hint="eastAsia" w:ascii="仿宋" w:hAnsi="仿宋" w:eastAsia="仿宋" w:cs="仿宋"/>
          <w:i w:val="0"/>
          <w:iCs w:val="0"/>
          <w:caps w:val="0"/>
          <w:color w:val="000000"/>
          <w:spacing w:val="0"/>
          <w:sz w:val="28"/>
          <w:szCs w:val="28"/>
          <w:shd w:val="clear" w:fill="FFFFFF"/>
          <w:lang w:val="en-US"/>
        </w:rPr>
        <w:t>2011</w:t>
      </w:r>
      <w:r>
        <w:rPr>
          <w:rFonts w:hint="eastAsia" w:ascii="仿宋" w:hAnsi="仿宋" w:eastAsia="仿宋" w:cs="仿宋"/>
          <w:i w:val="0"/>
          <w:iCs w:val="0"/>
          <w:caps w:val="0"/>
          <w:color w:val="000000"/>
          <w:spacing w:val="0"/>
          <w:sz w:val="28"/>
          <w:szCs w:val="28"/>
          <w:shd w:val="clear" w:fill="FFFFFF"/>
          <w:lang w:eastAsia="zh-CN"/>
        </w:rPr>
        <w:t>〕</w:t>
      </w:r>
      <w:r>
        <w:rPr>
          <w:rFonts w:hint="eastAsia" w:ascii="仿宋" w:hAnsi="仿宋" w:eastAsia="仿宋" w:cs="仿宋"/>
          <w:i w:val="0"/>
          <w:iCs w:val="0"/>
          <w:caps w:val="0"/>
          <w:color w:val="000000"/>
          <w:spacing w:val="0"/>
          <w:sz w:val="28"/>
          <w:szCs w:val="28"/>
          <w:shd w:val="clear" w:fill="FFFFFF"/>
          <w:lang w:val="en-US"/>
        </w:rPr>
        <w:t>8</w:t>
      </w:r>
      <w:r>
        <w:rPr>
          <w:rFonts w:hint="eastAsia" w:ascii="仿宋" w:hAnsi="仿宋" w:eastAsia="仿宋" w:cs="仿宋"/>
          <w:i w:val="0"/>
          <w:iCs w:val="0"/>
          <w:caps w:val="0"/>
          <w:color w:val="000000"/>
          <w:spacing w:val="0"/>
          <w:sz w:val="28"/>
          <w:szCs w:val="28"/>
          <w:shd w:val="clear" w:fill="FFFFFF"/>
          <w:lang w:eastAsia="zh-CN"/>
        </w:rPr>
        <w:t>号）《河源市人民政府关于印发河源市城市规划区房屋征收与补偿实施办法的通知》（河府〔</w:t>
      </w:r>
      <w:r>
        <w:rPr>
          <w:rFonts w:hint="eastAsia" w:ascii="仿宋" w:hAnsi="仿宋" w:eastAsia="仿宋" w:cs="仿宋"/>
          <w:i w:val="0"/>
          <w:iCs w:val="0"/>
          <w:caps w:val="0"/>
          <w:color w:val="000000"/>
          <w:spacing w:val="0"/>
          <w:sz w:val="28"/>
          <w:szCs w:val="28"/>
          <w:shd w:val="clear" w:fill="FFFFFF"/>
          <w:lang w:val="en-US"/>
        </w:rPr>
        <w:t>2017</w:t>
      </w:r>
      <w:r>
        <w:rPr>
          <w:rFonts w:hint="eastAsia" w:ascii="仿宋" w:hAnsi="仿宋" w:eastAsia="仿宋" w:cs="仿宋"/>
          <w:i w:val="0"/>
          <w:iCs w:val="0"/>
          <w:caps w:val="0"/>
          <w:color w:val="000000"/>
          <w:spacing w:val="0"/>
          <w:sz w:val="28"/>
          <w:szCs w:val="28"/>
          <w:shd w:val="clear" w:fill="FFFFFF"/>
          <w:lang w:eastAsia="zh-CN"/>
        </w:rPr>
        <w:t>〕</w:t>
      </w:r>
      <w:r>
        <w:rPr>
          <w:rFonts w:hint="eastAsia" w:ascii="仿宋" w:hAnsi="仿宋" w:eastAsia="仿宋" w:cs="仿宋"/>
          <w:i w:val="0"/>
          <w:iCs w:val="0"/>
          <w:caps w:val="0"/>
          <w:color w:val="000000"/>
          <w:spacing w:val="0"/>
          <w:sz w:val="28"/>
          <w:szCs w:val="28"/>
          <w:shd w:val="clear" w:fill="FFFFFF"/>
          <w:lang w:val="en-US"/>
        </w:rPr>
        <w:t>44</w:t>
      </w:r>
      <w:r>
        <w:rPr>
          <w:rFonts w:hint="eastAsia" w:ascii="仿宋" w:hAnsi="仿宋" w:eastAsia="仿宋" w:cs="仿宋"/>
          <w:i w:val="0"/>
          <w:iCs w:val="0"/>
          <w:caps w:val="0"/>
          <w:color w:val="000000"/>
          <w:spacing w:val="0"/>
          <w:sz w:val="28"/>
          <w:szCs w:val="28"/>
          <w:shd w:val="clear" w:fill="FFFFFF"/>
          <w:lang w:eastAsia="zh-CN"/>
        </w:rPr>
        <w:t>号）等有关规定，结合</w:t>
      </w:r>
      <w:r>
        <w:rPr>
          <w:rFonts w:hint="eastAsia" w:ascii="仿宋" w:hAnsi="仿宋" w:eastAsia="仿宋" w:cs="仿宋"/>
          <w:i w:val="0"/>
          <w:iCs w:val="0"/>
          <w:caps w:val="0"/>
          <w:color w:val="000000"/>
          <w:spacing w:val="0"/>
          <w:sz w:val="28"/>
          <w:szCs w:val="28"/>
          <w:highlight w:val="none"/>
          <w:shd w:val="clear" w:fill="FFFFFF"/>
          <w:lang w:eastAsia="zh-CN"/>
        </w:rPr>
        <w:t>县</w:t>
      </w:r>
      <w:r>
        <w:rPr>
          <w:rFonts w:hint="eastAsia" w:ascii="仿宋" w:hAnsi="仿宋" w:eastAsia="仿宋" w:cs="仿宋"/>
          <w:i w:val="0"/>
          <w:iCs w:val="0"/>
          <w:caps w:val="0"/>
          <w:color w:val="000000"/>
          <w:spacing w:val="0"/>
          <w:sz w:val="28"/>
          <w:szCs w:val="28"/>
          <w:highlight w:val="none"/>
          <w:shd w:val="clear" w:fill="FFFFFF"/>
          <w:lang w:val="en-US" w:eastAsia="zh-CN"/>
        </w:rPr>
        <w:t>委县政府</w:t>
      </w:r>
      <w:r>
        <w:rPr>
          <w:rFonts w:hint="eastAsia" w:ascii="仿宋" w:hAnsi="仿宋" w:eastAsia="仿宋" w:cs="仿宋"/>
          <w:i w:val="0"/>
          <w:iCs w:val="0"/>
          <w:caps w:val="0"/>
          <w:color w:val="000000"/>
          <w:spacing w:val="0"/>
          <w:sz w:val="28"/>
          <w:szCs w:val="28"/>
          <w:highlight w:val="none"/>
          <w:shd w:val="clear" w:fill="FFFFFF"/>
          <w:lang w:eastAsia="zh-CN"/>
        </w:rPr>
        <w:t>关于东风西路（</w:t>
      </w:r>
      <w:r>
        <w:rPr>
          <w:rFonts w:hint="eastAsia" w:ascii="仿宋" w:hAnsi="仿宋" w:eastAsia="仿宋" w:cs="仿宋"/>
          <w:i w:val="0"/>
          <w:iCs w:val="0"/>
          <w:caps w:val="0"/>
          <w:color w:val="000000"/>
          <w:spacing w:val="0"/>
          <w:sz w:val="28"/>
          <w:szCs w:val="28"/>
          <w:highlight w:val="none"/>
          <w:shd w:val="clear" w:fill="FFFFFF"/>
          <w:lang w:val="en-US" w:eastAsia="zh-CN"/>
        </w:rPr>
        <w:t>兴泰花园</w:t>
      </w:r>
      <w:r>
        <w:rPr>
          <w:rFonts w:hint="eastAsia" w:ascii="仿宋" w:hAnsi="仿宋" w:eastAsia="仿宋" w:cs="仿宋"/>
          <w:i w:val="0"/>
          <w:iCs w:val="0"/>
          <w:caps w:val="0"/>
          <w:color w:val="000000"/>
          <w:spacing w:val="0"/>
          <w:sz w:val="28"/>
          <w:szCs w:val="28"/>
          <w:highlight w:val="none"/>
          <w:shd w:val="clear" w:fill="FFFFFF"/>
          <w:lang w:eastAsia="zh-CN"/>
        </w:rPr>
        <w:t>段）道路改造项目的要求</w:t>
      </w:r>
      <w:r>
        <w:rPr>
          <w:rFonts w:hint="eastAsia" w:ascii="仿宋" w:hAnsi="仿宋" w:eastAsia="仿宋" w:cs="仿宋"/>
          <w:i w:val="0"/>
          <w:iCs w:val="0"/>
          <w:caps w:val="0"/>
          <w:color w:val="000000"/>
          <w:spacing w:val="0"/>
          <w:sz w:val="28"/>
          <w:szCs w:val="28"/>
          <w:shd w:val="clear" w:fill="FFFFFF"/>
          <w:lang w:eastAsia="zh-CN"/>
        </w:rPr>
        <w:t>，为加快县城老城的建设步伐，进一步改善县城东风西路出口交通条件，结合实际，制定龙川县东风西路（</w:t>
      </w:r>
      <w:r>
        <w:rPr>
          <w:rFonts w:hint="eastAsia" w:ascii="仿宋" w:hAnsi="仿宋" w:eastAsia="仿宋" w:cs="仿宋"/>
          <w:i w:val="0"/>
          <w:iCs w:val="0"/>
          <w:caps w:val="0"/>
          <w:color w:val="000000"/>
          <w:spacing w:val="0"/>
          <w:sz w:val="28"/>
          <w:szCs w:val="28"/>
          <w:shd w:val="clear" w:fill="FFFFFF"/>
          <w:lang w:val="en-US" w:eastAsia="zh-CN"/>
        </w:rPr>
        <w:t>兴泰花园</w:t>
      </w:r>
      <w:r>
        <w:rPr>
          <w:rFonts w:hint="eastAsia" w:ascii="仿宋" w:hAnsi="仿宋" w:eastAsia="仿宋" w:cs="仿宋"/>
          <w:i w:val="0"/>
          <w:iCs w:val="0"/>
          <w:caps w:val="0"/>
          <w:color w:val="000000"/>
          <w:spacing w:val="0"/>
          <w:sz w:val="28"/>
          <w:szCs w:val="28"/>
          <w:shd w:val="clear" w:fill="FFFFFF"/>
          <w:lang w:eastAsia="zh-CN"/>
        </w:rPr>
        <w:t>段）道路改造项目房屋征收与补偿方案（以下简称“本方案”）。</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rPr>
        <w:t>根据《国有土地上房屋征收与补偿条例》（国务院令</w:t>
      </w:r>
      <w:r>
        <w:rPr>
          <w:rFonts w:hint="eastAsia" w:ascii="仿宋" w:hAnsi="仿宋" w:eastAsia="仿宋" w:cs="宋体"/>
          <w:color w:val="333333"/>
          <w:kern w:val="0"/>
          <w:sz w:val="28"/>
          <w:szCs w:val="28"/>
        </w:rPr>
        <w:t>2011第590号）及《河源市城市规划区房屋征收与补偿实施办法》(河府〔2017〕44号)等法律法规的有关规定，结合实际，制定对</w:t>
      </w:r>
      <w:r>
        <w:rPr>
          <w:rFonts w:hint="eastAsia" w:ascii="仿宋" w:hAnsi="仿宋" w:eastAsia="仿宋" w:cs="仿宋"/>
          <w:i w:val="0"/>
          <w:iCs w:val="0"/>
          <w:caps w:val="0"/>
          <w:color w:val="000000"/>
          <w:spacing w:val="0"/>
          <w:sz w:val="28"/>
          <w:szCs w:val="28"/>
          <w:shd w:val="clear" w:fill="FFFFFF"/>
          <w:lang w:eastAsia="zh-CN"/>
        </w:rPr>
        <w:t>龙川县东风西路（</w:t>
      </w:r>
      <w:r>
        <w:rPr>
          <w:rFonts w:hint="eastAsia" w:ascii="仿宋" w:hAnsi="仿宋" w:eastAsia="仿宋" w:cs="仿宋"/>
          <w:i w:val="0"/>
          <w:iCs w:val="0"/>
          <w:caps w:val="0"/>
          <w:color w:val="000000"/>
          <w:spacing w:val="0"/>
          <w:sz w:val="28"/>
          <w:szCs w:val="28"/>
          <w:shd w:val="clear" w:fill="FFFFFF"/>
          <w:lang w:val="en-US" w:eastAsia="zh-CN"/>
        </w:rPr>
        <w:t>兴泰花园</w:t>
      </w:r>
      <w:r>
        <w:rPr>
          <w:rFonts w:hint="eastAsia" w:ascii="仿宋" w:hAnsi="仿宋" w:eastAsia="仿宋" w:cs="仿宋"/>
          <w:i w:val="0"/>
          <w:iCs w:val="0"/>
          <w:caps w:val="0"/>
          <w:color w:val="000000"/>
          <w:spacing w:val="0"/>
          <w:sz w:val="28"/>
          <w:szCs w:val="28"/>
          <w:shd w:val="clear" w:fill="FFFFFF"/>
          <w:lang w:eastAsia="zh-CN"/>
        </w:rPr>
        <w:t>段）道路改造项目</w:t>
      </w:r>
      <w:r>
        <w:rPr>
          <w:rFonts w:hint="eastAsia" w:ascii="仿宋" w:hAnsi="仿宋" w:eastAsia="仿宋" w:cs="宋体"/>
          <w:color w:val="333333"/>
          <w:kern w:val="0"/>
          <w:sz w:val="28"/>
          <w:szCs w:val="28"/>
        </w:rPr>
        <w:t>补偿方案（以下简称“本方案”）。</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outlineLvl w:val="1"/>
        <w:rPr>
          <w:rFonts w:hint="eastAsia" w:ascii="宋体" w:hAnsi="宋体" w:eastAsia="宋体" w:cs="宋体"/>
          <w:color w:val="333333"/>
          <w:kern w:val="0"/>
          <w:szCs w:val="21"/>
        </w:rPr>
      </w:pPr>
      <w:bookmarkStart w:id="20" w:name="_Toc20634"/>
      <w:bookmarkEnd w:id="20"/>
      <w:bookmarkStart w:id="21" w:name="_Toc29708"/>
      <w:bookmarkEnd w:id="21"/>
      <w:bookmarkStart w:id="22" w:name="_Toc396227889"/>
      <w:bookmarkEnd w:id="22"/>
      <w:bookmarkStart w:id="23" w:name="_Toc482714415"/>
      <w:bookmarkEnd w:id="23"/>
      <w:bookmarkStart w:id="24" w:name="_Toc488153833"/>
      <w:bookmarkEnd w:id="24"/>
      <w:bookmarkStart w:id="25" w:name="_Toc877"/>
      <w:bookmarkEnd w:id="25"/>
      <w:bookmarkStart w:id="26" w:name="_Toc13280"/>
      <w:bookmarkEnd w:id="26"/>
      <w:bookmarkStart w:id="27" w:name="_Toc20469"/>
      <w:bookmarkEnd w:id="27"/>
      <w:bookmarkStart w:id="28" w:name="_Toc7914"/>
      <w:bookmarkEnd w:id="28"/>
      <w:bookmarkStart w:id="29" w:name="_Toc3129"/>
      <w:bookmarkEnd w:id="29"/>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lang w:val="en-US" w:eastAsia="zh-CN"/>
        </w:rPr>
        <w:t>二）</w:t>
      </w:r>
      <w:r>
        <w:rPr>
          <w:rFonts w:hint="eastAsia" w:ascii="仿宋" w:hAnsi="仿宋" w:eastAsia="仿宋" w:cs="宋体"/>
          <w:color w:val="333333"/>
          <w:kern w:val="0"/>
          <w:sz w:val="28"/>
          <w:szCs w:val="28"/>
          <w:shd w:val="clear" w:color="auto" w:fill="FFFFFF"/>
        </w:rPr>
        <w:t>【征收主体】</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rPr>
        <w:t>龙川县</w:t>
      </w:r>
      <w:r>
        <w:rPr>
          <w:rFonts w:hint="eastAsia" w:ascii="仿宋" w:hAnsi="仿宋" w:eastAsia="仿宋" w:cs="宋体"/>
          <w:color w:val="333333"/>
          <w:kern w:val="0"/>
          <w:sz w:val="28"/>
          <w:szCs w:val="28"/>
          <w:shd w:val="clear" w:color="auto" w:fill="FFFFFF"/>
          <w:lang w:val="en-US" w:eastAsia="zh-CN"/>
        </w:rPr>
        <w:t>人民政府</w:t>
      </w:r>
      <w:r>
        <w:rPr>
          <w:rFonts w:hint="eastAsia" w:ascii="仿宋" w:hAnsi="仿宋" w:eastAsia="仿宋" w:cs="宋体"/>
          <w:color w:val="333333"/>
          <w:kern w:val="0"/>
          <w:sz w:val="28"/>
          <w:szCs w:val="28"/>
          <w:shd w:val="clear" w:color="auto" w:fill="FFFFFF"/>
        </w:rPr>
        <w:t>是本项目的征收部门。</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ascii="仿宋" w:hAnsi="仿宋" w:eastAsia="仿宋" w:cs="仿宋"/>
          <w:i w:val="0"/>
          <w:iCs w:val="0"/>
          <w:caps w:val="0"/>
          <w:color w:val="000000"/>
          <w:spacing w:val="0"/>
          <w:sz w:val="28"/>
          <w:szCs w:val="28"/>
          <w:shd w:val="clear" w:fill="FFFFFF"/>
          <w:lang w:eastAsia="zh-CN"/>
        </w:rPr>
        <w:t>龙川县老隆镇人民政府是本项目的征收实施单位，负责办理征收补偿工作具体事宜，并接受征收部门的监督、指导</w:t>
      </w:r>
      <w:r>
        <w:rPr>
          <w:rFonts w:hint="eastAsia" w:ascii="仿宋" w:hAnsi="仿宋" w:eastAsia="仿宋" w:cs="仿宋"/>
          <w:i w:val="0"/>
          <w:iCs w:val="0"/>
          <w:caps w:val="0"/>
          <w:color w:val="000000"/>
          <w:spacing w:val="0"/>
          <w:sz w:val="28"/>
          <w:szCs w:val="28"/>
          <w:shd w:val="clear" w:fill="FFFFFF"/>
        </w:rPr>
        <w:t>。</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outlineLvl w:val="1"/>
        <w:rPr>
          <w:rFonts w:hint="eastAsia" w:ascii="宋体" w:hAnsi="宋体" w:eastAsia="宋体" w:cs="宋体"/>
          <w:color w:val="333333"/>
          <w:kern w:val="0"/>
          <w:szCs w:val="21"/>
        </w:rPr>
      </w:pPr>
      <w:bookmarkStart w:id="30" w:name="_Toc13112"/>
      <w:bookmarkEnd w:id="30"/>
      <w:bookmarkStart w:id="31" w:name="_Toc23809"/>
      <w:bookmarkEnd w:id="31"/>
      <w:bookmarkStart w:id="32" w:name="_Toc1151"/>
      <w:bookmarkEnd w:id="32"/>
      <w:bookmarkStart w:id="33" w:name="_Toc27569"/>
      <w:bookmarkEnd w:id="33"/>
      <w:bookmarkStart w:id="34" w:name="_Toc6780"/>
      <w:bookmarkEnd w:id="34"/>
      <w:bookmarkStart w:id="35" w:name="_Toc482714416"/>
      <w:bookmarkEnd w:id="35"/>
      <w:bookmarkStart w:id="36" w:name="_Toc651"/>
      <w:bookmarkEnd w:id="36"/>
      <w:bookmarkStart w:id="37" w:name="_Toc396227890"/>
      <w:bookmarkEnd w:id="37"/>
      <w:bookmarkStart w:id="38" w:name="_Toc488153834"/>
      <w:bookmarkEnd w:id="38"/>
      <w:bookmarkStart w:id="39" w:name="_Toc17230"/>
      <w:bookmarkEnd w:id="39"/>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lang w:val="en-US" w:eastAsia="zh-CN"/>
        </w:rPr>
        <w:t>三）</w:t>
      </w:r>
      <w:r>
        <w:rPr>
          <w:rFonts w:hint="eastAsia" w:ascii="仿宋" w:hAnsi="仿宋" w:eastAsia="仿宋" w:cs="宋体"/>
          <w:color w:val="333333"/>
          <w:kern w:val="0"/>
          <w:sz w:val="28"/>
          <w:szCs w:val="28"/>
          <w:shd w:val="clear" w:color="auto" w:fill="FFFFFF"/>
        </w:rPr>
        <w:t>【适用范围】</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ascii="仿宋" w:hAnsi="仿宋" w:eastAsia="仿宋" w:cs="仿宋"/>
          <w:i w:val="0"/>
          <w:iCs w:val="0"/>
          <w:caps w:val="0"/>
          <w:color w:val="000000"/>
          <w:spacing w:val="0"/>
          <w:sz w:val="28"/>
          <w:szCs w:val="28"/>
          <w:shd w:val="clear" w:fill="FFFFFF"/>
          <w:lang w:eastAsia="zh-CN"/>
        </w:rPr>
        <w:t>本方案仅适用于龙川县东风西路（</w:t>
      </w:r>
      <w:r>
        <w:rPr>
          <w:rFonts w:hint="eastAsia" w:ascii="仿宋" w:hAnsi="仿宋" w:eastAsia="仿宋" w:cs="仿宋"/>
          <w:i w:val="0"/>
          <w:iCs w:val="0"/>
          <w:caps w:val="0"/>
          <w:color w:val="000000"/>
          <w:spacing w:val="0"/>
          <w:sz w:val="28"/>
          <w:szCs w:val="28"/>
          <w:shd w:val="clear" w:fill="FFFFFF"/>
          <w:lang w:val="en-US" w:eastAsia="zh-CN"/>
        </w:rPr>
        <w:t>兴泰花园</w:t>
      </w:r>
      <w:r>
        <w:rPr>
          <w:rFonts w:hint="eastAsia" w:ascii="仿宋" w:hAnsi="仿宋" w:eastAsia="仿宋" w:cs="仿宋"/>
          <w:i w:val="0"/>
          <w:iCs w:val="0"/>
          <w:caps w:val="0"/>
          <w:color w:val="000000"/>
          <w:spacing w:val="0"/>
          <w:sz w:val="28"/>
          <w:szCs w:val="28"/>
          <w:shd w:val="clear" w:fill="FFFFFF"/>
          <w:lang w:eastAsia="zh-CN"/>
        </w:rPr>
        <w:t>段</w:t>
      </w:r>
      <w:r>
        <w:rPr>
          <w:rFonts w:ascii="仿宋" w:hAnsi="仿宋" w:eastAsia="仿宋" w:cs="仿宋"/>
          <w:i w:val="0"/>
          <w:iCs w:val="0"/>
          <w:caps w:val="0"/>
          <w:color w:val="000000"/>
          <w:spacing w:val="0"/>
          <w:sz w:val="28"/>
          <w:szCs w:val="28"/>
          <w:shd w:val="clear" w:fill="FFFFFF"/>
          <w:lang w:eastAsia="zh-CN"/>
        </w:rPr>
        <w:t>）道路改造项目的房屋征收与补偿工作</w:t>
      </w:r>
      <w:r>
        <w:rPr>
          <w:rFonts w:hint="eastAsia" w:ascii="仿宋" w:hAnsi="仿宋" w:eastAsia="仿宋" w:cs="仿宋"/>
          <w:i w:val="0"/>
          <w:iCs w:val="0"/>
          <w:caps w:val="0"/>
          <w:color w:val="000000"/>
          <w:spacing w:val="0"/>
          <w:sz w:val="28"/>
          <w:szCs w:val="28"/>
          <w:shd w:val="clear" w:fill="FFFFFF"/>
        </w:rPr>
        <w:t>。</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outlineLvl w:val="1"/>
        <w:rPr>
          <w:rFonts w:hint="eastAsia" w:ascii="宋体" w:hAnsi="宋体" w:eastAsia="宋体" w:cs="宋体"/>
          <w:color w:val="333333"/>
          <w:kern w:val="0"/>
          <w:szCs w:val="21"/>
        </w:rPr>
      </w:pPr>
      <w:bookmarkStart w:id="40" w:name="_Toc488153835"/>
      <w:bookmarkEnd w:id="40"/>
      <w:bookmarkStart w:id="41" w:name="_Toc4613"/>
      <w:bookmarkEnd w:id="41"/>
      <w:bookmarkStart w:id="42" w:name="_Toc10367"/>
      <w:bookmarkEnd w:id="42"/>
      <w:bookmarkStart w:id="43" w:name="_Toc482714417"/>
      <w:bookmarkEnd w:id="43"/>
      <w:bookmarkStart w:id="44" w:name="_Toc4577"/>
      <w:bookmarkEnd w:id="44"/>
      <w:bookmarkStart w:id="45" w:name="_Toc396227891"/>
      <w:bookmarkEnd w:id="45"/>
      <w:bookmarkStart w:id="46" w:name="_Toc14796"/>
      <w:bookmarkEnd w:id="46"/>
      <w:bookmarkStart w:id="47" w:name="_Toc8224"/>
      <w:bookmarkEnd w:id="47"/>
      <w:bookmarkStart w:id="48" w:name="_Toc24102"/>
      <w:bookmarkEnd w:id="48"/>
      <w:bookmarkStart w:id="49" w:name="_Toc18779"/>
      <w:bookmarkEnd w:id="49"/>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lang w:val="en-US" w:eastAsia="zh-CN"/>
        </w:rPr>
        <w:t>四）</w:t>
      </w:r>
      <w:r>
        <w:rPr>
          <w:rFonts w:hint="eastAsia" w:ascii="仿宋" w:hAnsi="仿宋" w:eastAsia="仿宋" w:cs="宋体"/>
          <w:color w:val="333333"/>
          <w:kern w:val="0"/>
          <w:sz w:val="28"/>
          <w:szCs w:val="28"/>
          <w:shd w:val="clear" w:color="auto" w:fill="FFFFFF"/>
        </w:rPr>
        <w:t>【征收补偿方式】</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rPr>
        <w:t>本项目以</w:t>
      </w:r>
      <w:r>
        <w:rPr>
          <w:rFonts w:hint="eastAsia" w:ascii="仿宋" w:hAnsi="仿宋" w:eastAsia="仿宋" w:cs="宋体"/>
          <w:color w:val="333333"/>
          <w:kern w:val="0"/>
          <w:sz w:val="28"/>
          <w:szCs w:val="28"/>
          <w:shd w:val="clear" w:color="auto" w:fill="FFFFFF"/>
          <w:lang w:eastAsia="zh-CN"/>
        </w:rPr>
        <w:t>货币补偿、货币补偿与产权调换相结合的方式</w:t>
      </w:r>
      <w:r>
        <w:rPr>
          <w:rFonts w:hint="eastAsia" w:ascii="仿宋" w:hAnsi="仿宋" w:eastAsia="仿宋" w:cs="宋体"/>
          <w:color w:val="333333"/>
          <w:kern w:val="0"/>
          <w:sz w:val="28"/>
          <w:szCs w:val="28"/>
          <w:shd w:val="clear" w:color="auto" w:fill="FFFFFF"/>
        </w:rPr>
        <w:t>进行补偿。除本方案及县政府另有规定外，征收构筑物、其他附着物等均实行货币补偿。</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outlineLvl w:val="1"/>
        <w:rPr>
          <w:rFonts w:hint="eastAsia" w:ascii="宋体" w:hAnsi="宋体" w:eastAsia="宋体" w:cs="宋体"/>
          <w:color w:val="333333"/>
          <w:kern w:val="0"/>
          <w:szCs w:val="21"/>
        </w:rPr>
      </w:pPr>
      <w:bookmarkStart w:id="50" w:name="_Toc31494"/>
      <w:bookmarkEnd w:id="50"/>
      <w:bookmarkStart w:id="51" w:name="_Toc27415"/>
      <w:bookmarkEnd w:id="51"/>
      <w:bookmarkStart w:id="52" w:name="_Toc14834"/>
      <w:bookmarkEnd w:id="52"/>
      <w:bookmarkStart w:id="53" w:name="_Toc3670"/>
      <w:bookmarkEnd w:id="53"/>
      <w:bookmarkStart w:id="54" w:name="_Toc7460"/>
      <w:bookmarkEnd w:id="54"/>
      <w:bookmarkStart w:id="55" w:name="_Toc488153836"/>
      <w:bookmarkEnd w:id="55"/>
      <w:bookmarkStart w:id="56" w:name="_Toc482714418"/>
      <w:bookmarkEnd w:id="56"/>
      <w:bookmarkStart w:id="57" w:name="_Toc19728"/>
      <w:bookmarkEnd w:id="57"/>
      <w:bookmarkStart w:id="58" w:name="_Toc13501"/>
      <w:bookmarkEnd w:id="58"/>
      <w:bookmarkStart w:id="59" w:name="_Toc396227892"/>
      <w:bookmarkEnd w:id="59"/>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lang w:val="en-US" w:eastAsia="zh-CN"/>
        </w:rPr>
        <w:t>五）</w:t>
      </w:r>
      <w:r>
        <w:rPr>
          <w:rFonts w:hint="eastAsia" w:ascii="仿宋" w:hAnsi="仿宋" w:eastAsia="仿宋" w:cs="宋体"/>
          <w:color w:val="333333"/>
          <w:kern w:val="0"/>
          <w:sz w:val="28"/>
          <w:szCs w:val="28"/>
          <w:shd w:val="clear" w:color="auto" w:fill="FFFFFF"/>
        </w:rPr>
        <w:t>【补偿原则与范围】</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1.</w:t>
      </w:r>
      <w:r>
        <w:rPr>
          <w:rFonts w:hint="eastAsia" w:ascii="仿宋" w:hAnsi="仿宋" w:eastAsia="仿宋" w:cs="宋体"/>
          <w:color w:val="333333"/>
          <w:kern w:val="0"/>
          <w:sz w:val="28"/>
          <w:szCs w:val="28"/>
          <w:shd w:val="clear" w:color="auto" w:fill="FFFFFF"/>
          <w:lang w:eastAsia="zh-CN"/>
        </w:rPr>
        <w:t>本项目以货币补偿、货币补偿与产权调换相结合的方式进行补偿。</w:t>
      </w:r>
      <w:r>
        <w:rPr>
          <w:rFonts w:hint="eastAsia" w:ascii="仿宋" w:hAnsi="仿宋" w:eastAsia="仿宋" w:cs="宋体"/>
          <w:color w:val="333333"/>
          <w:kern w:val="0"/>
          <w:sz w:val="28"/>
          <w:szCs w:val="28"/>
          <w:shd w:val="clear" w:color="auto" w:fill="FFFFFF"/>
        </w:rPr>
        <w:t>征收人除对被征收人的房屋、土地、临时建（构）筑物及地上附着物等进行补偿外，在不造成重复补偿的前提下，根据实际情况，还需向被征收人补偿房屋室内装修装饰补偿费、搬迁费、临时安置费、停产停业补偿费等。</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rPr>
          <w:rFonts w:hint="eastAsia" w:ascii="仿宋" w:hAnsi="仿宋" w:eastAsia="仿宋" w:cs="宋体"/>
          <w:color w:val="333333"/>
          <w:kern w:val="0"/>
          <w:sz w:val="28"/>
          <w:szCs w:val="28"/>
          <w:shd w:val="clear" w:color="auto" w:fill="FFFFFF"/>
          <w:lang w:val="en-US" w:eastAsia="zh-CN"/>
        </w:rPr>
      </w:pPr>
      <w:r>
        <w:rPr>
          <w:rFonts w:hint="eastAsia" w:ascii="仿宋" w:hAnsi="仿宋" w:eastAsia="仿宋" w:cs="宋体"/>
          <w:color w:val="333333"/>
          <w:kern w:val="0"/>
          <w:sz w:val="28"/>
          <w:szCs w:val="28"/>
          <w:shd w:val="clear" w:color="auto" w:fill="FFFFFF"/>
          <w:lang w:val="en-US" w:eastAsia="zh-CN"/>
        </w:rPr>
        <w:t>2.</w:t>
      </w:r>
      <w:r>
        <w:rPr>
          <w:rFonts w:hint="eastAsia" w:ascii="仿宋" w:hAnsi="仿宋" w:eastAsia="仿宋" w:cs="宋体"/>
          <w:color w:val="333333"/>
          <w:kern w:val="0"/>
          <w:sz w:val="28"/>
          <w:szCs w:val="28"/>
          <w:shd w:val="clear" w:color="auto" w:fill="FFFFFF"/>
        </w:rPr>
        <w:t>征收范围内建筑物性质、类别的认定工作由</w:t>
      </w:r>
      <w:r>
        <w:rPr>
          <w:rFonts w:ascii="仿宋" w:hAnsi="仿宋" w:eastAsia="仿宋" w:cs="仿宋"/>
          <w:i w:val="0"/>
          <w:iCs w:val="0"/>
          <w:caps w:val="0"/>
          <w:color w:val="000000"/>
          <w:spacing w:val="0"/>
          <w:sz w:val="28"/>
          <w:szCs w:val="28"/>
          <w:shd w:val="clear" w:fill="FFFFFF"/>
          <w:lang w:eastAsia="zh-CN"/>
        </w:rPr>
        <w:t>龙川县老隆镇人民政府</w:t>
      </w:r>
      <w:r>
        <w:rPr>
          <w:rFonts w:hint="eastAsia" w:ascii="仿宋" w:hAnsi="仿宋" w:eastAsia="仿宋" w:cs="仿宋"/>
          <w:i w:val="0"/>
          <w:iCs w:val="0"/>
          <w:caps w:val="0"/>
          <w:color w:val="000000"/>
          <w:spacing w:val="0"/>
          <w:sz w:val="28"/>
          <w:szCs w:val="28"/>
          <w:shd w:val="clear" w:fill="FFFFFF"/>
        </w:rPr>
        <w:t>、龙川县自然资源局</w:t>
      </w:r>
      <w:r>
        <w:rPr>
          <w:rFonts w:hint="eastAsia" w:ascii="仿宋" w:hAnsi="仿宋" w:eastAsia="仿宋" w:cs="仿宋"/>
          <w:i w:val="0"/>
          <w:iCs w:val="0"/>
          <w:caps w:val="0"/>
          <w:color w:val="000000"/>
          <w:spacing w:val="0"/>
          <w:sz w:val="28"/>
          <w:szCs w:val="28"/>
          <w:shd w:val="clear" w:fill="FFFFFF"/>
          <w:lang w:eastAsia="zh-CN"/>
        </w:rPr>
        <w:t>、</w:t>
      </w:r>
      <w:r>
        <w:rPr>
          <w:rFonts w:hint="eastAsia" w:ascii="仿宋" w:hAnsi="仿宋" w:eastAsia="仿宋" w:cs="宋体"/>
          <w:color w:val="333333"/>
          <w:kern w:val="0"/>
          <w:sz w:val="28"/>
          <w:szCs w:val="28"/>
          <w:shd w:val="clear" w:color="auto" w:fill="FFFFFF"/>
          <w:lang w:val="en-US" w:eastAsia="zh-CN"/>
        </w:rPr>
        <w:t>（兴泰花园段）道路改造项目专班征收小组负责。</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rPr>
          <w:rFonts w:hint="eastAsia" w:ascii="宋体" w:hAnsi="宋体" w:eastAsia="宋体" w:cs="宋体"/>
          <w:color w:val="333333"/>
          <w:kern w:val="0"/>
          <w:szCs w:val="21"/>
        </w:rPr>
      </w:pP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lang w:val="en-US" w:eastAsia="zh-CN"/>
        </w:rPr>
        <w:t>六）</w:t>
      </w:r>
      <w:r>
        <w:rPr>
          <w:rFonts w:hint="eastAsia" w:ascii="仿宋" w:hAnsi="仿宋" w:eastAsia="仿宋" w:cs="宋体"/>
          <w:color w:val="333333"/>
          <w:kern w:val="0"/>
          <w:sz w:val="28"/>
          <w:szCs w:val="28"/>
        </w:rPr>
        <w:t>【</w:t>
      </w:r>
      <w:r>
        <w:rPr>
          <w:rFonts w:hint="eastAsia" w:ascii="仿宋" w:hAnsi="仿宋" w:eastAsia="仿宋" w:cs="宋体"/>
          <w:color w:val="333333"/>
          <w:kern w:val="0"/>
          <w:sz w:val="28"/>
          <w:szCs w:val="28"/>
          <w:shd w:val="clear" w:color="auto" w:fill="FFFFFF"/>
        </w:rPr>
        <w:t>签订征收补偿协议期限】</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ascii="仿宋" w:hAnsi="仿宋" w:eastAsia="仿宋" w:cs="仿宋"/>
          <w:i w:val="0"/>
          <w:iCs w:val="0"/>
          <w:caps w:val="0"/>
          <w:color w:val="000000"/>
          <w:spacing w:val="0"/>
          <w:sz w:val="28"/>
          <w:szCs w:val="28"/>
          <w:shd w:val="clear" w:fill="FFFFFF"/>
          <w:lang w:eastAsia="zh-CN"/>
        </w:rPr>
        <w:t>自发布《龙川县东风西路（</w:t>
      </w:r>
      <w:r>
        <w:rPr>
          <w:rFonts w:hint="eastAsia" w:ascii="仿宋" w:hAnsi="仿宋" w:eastAsia="仿宋" w:cs="仿宋"/>
          <w:i w:val="0"/>
          <w:iCs w:val="0"/>
          <w:caps w:val="0"/>
          <w:color w:val="000000"/>
          <w:spacing w:val="0"/>
          <w:sz w:val="28"/>
          <w:szCs w:val="28"/>
          <w:shd w:val="clear" w:fill="FFFFFF"/>
          <w:lang w:val="en-US" w:eastAsia="zh-CN"/>
        </w:rPr>
        <w:t>兴泰花园</w:t>
      </w:r>
      <w:r>
        <w:rPr>
          <w:rFonts w:ascii="仿宋" w:hAnsi="仿宋" w:eastAsia="仿宋" w:cs="仿宋"/>
          <w:i w:val="0"/>
          <w:iCs w:val="0"/>
          <w:caps w:val="0"/>
          <w:color w:val="000000"/>
          <w:spacing w:val="0"/>
          <w:sz w:val="28"/>
          <w:szCs w:val="28"/>
          <w:shd w:val="clear" w:fill="FFFFFF"/>
          <w:lang w:eastAsia="zh-CN"/>
        </w:rPr>
        <w:t>段）道路改造项目房屋征收公告》之日起</w:t>
      </w:r>
      <w:r>
        <w:rPr>
          <w:rFonts w:hint="eastAsia" w:ascii="仿宋" w:hAnsi="仿宋" w:eastAsia="仿宋" w:cs="仿宋"/>
          <w:i w:val="0"/>
          <w:iCs w:val="0"/>
          <w:caps w:val="0"/>
          <w:color w:val="000000"/>
          <w:spacing w:val="0"/>
          <w:sz w:val="28"/>
          <w:szCs w:val="28"/>
          <w:shd w:val="clear" w:fill="FFFFFF"/>
          <w:lang w:val="en-US"/>
        </w:rPr>
        <w:t>3</w:t>
      </w:r>
      <w:r>
        <w:rPr>
          <w:rFonts w:hint="eastAsia" w:ascii="仿宋" w:hAnsi="仿宋" w:eastAsia="仿宋" w:cs="仿宋"/>
          <w:i w:val="0"/>
          <w:iCs w:val="0"/>
          <w:caps w:val="0"/>
          <w:color w:val="000000"/>
          <w:spacing w:val="0"/>
          <w:sz w:val="28"/>
          <w:szCs w:val="28"/>
          <w:shd w:val="clear" w:fill="FFFFFF"/>
          <w:lang w:eastAsia="zh-CN"/>
        </w:rPr>
        <w:t>个月内</w:t>
      </w:r>
      <w:r>
        <w:rPr>
          <w:rFonts w:hint="eastAsia" w:ascii="仿宋" w:hAnsi="仿宋" w:eastAsia="仿宋" w:cs="仿宋"/>
          <w:i w:val="0"/>
          <w:iCs w:val="0"/>
          <w:caps w:val="0"/>
          <w:color w:val="000000"/>
          <w:spacing w:val="0"/>
          <w:sz w:val="28"/>
          <w:szCs w:val="28"/>
          <w:shd w:val="clear" w:fill="FFFFFF"/>
        </w:rPr>
        <w:t>。</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outlineLvl w:val="1"/>
        <w:rPr>
          <w:rFonts w:hint="eastAsia" w:ascii="宋体" w:hAnsi="宋体" w:eastAsia="宋体" w:cs="宋体"/>
          <w:color w:val="333333"/>
          <w:kern w:val="0"/>
          <w:szCs w:val="21"/>
        </w:rPr>
      </w:pPr>
      <w:r>
        <w:rPr>
          <w:rFonts w:hint="eastAsia" w:ascii="仿宋" w:hAnsi="仿宋" w:eastAsia="仿宋" w:cs="宋体"/>
          <w:color w:val="333333"/>
          <w:kern w:val="0"/>
          <w:sz w:val="28"/>
          <w:szCs w:val="28"/>
          <w:lang w:eastAsia="zh-CN"/>
        </w:rPr>
        <w:t>（</w:t>
      </w:r>
      <w:r>
        <w:rPr>
          <w:rFonts w:hint="eastAsia" w:ascii="仿宋" w:hAnsi="仿宋" w:eastAsia="仿宋" w:cs="宋体"/>
          <w:color w:val="333333"/>
          <w:kern w:val="0"/>
          <w:sz w:val="28"/>
          <w:szCs w:val="28"/>
          <w:lang w:val="en-US" w:eastAsia="zh-CN"/>
        </w:rPr>
        <w:t>七）</w:t>
      </w:r>
      <w:r>
        <w:rPr>
          <w:rFonts w:hint="eastAsia" w:ascii="仿宋" w:hAnsi="仿宋" w:eastAsia="仿宋" w:cs="宋体"/>
          <w:color w:val="333333"/>
          <w:kern w:val="0"/>
          <w:sz w:val="28"/>
          <w:szCs w:val="28"/>
        </w:rPr>
        <w:t>【</w:t>
      </w:r>
      <w:r>
        <w:rPr>
          <w:rFonts w:hint="eastAsia" w:ascii="仿宋" w:hAnsi="仿宋" w:eastAsia="仿宋" w:cs="宋体"/>
          <w:color w:val="333333"/>
          <w:kern w:val="0"/>
          <w:sz w:val="28"/>
          <w:szCs w:val="28"/>
          <w:shd w:val="clear" w:color="auto" w:fill="FFFFFF"/>
        </w:rPr>
        <w:t>搬迁腾空地上建筑物期限】</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ascii="仿宋" w:hAnsi="仿宋" w:eastAsia="仿宋" w:cs="仿宋"/>
          <w:i w:val="0"/>
          <w:iCs w:val="0"/>
          <w:caps w:val="0"/>
          <w:color w:val="000000"/>
          <w:spacing w:val="0"/>
          <w:sz w:val="28"/>
          <w:szCs w:val="28"/>
          <w:shd w:val="clear" w:fill="FFFFFF"/>
          <w:lang w:eastAsia="zh-CN"/>
        </w:rPr>
        <w:t>自签订协议之日起</w:t>
      </w:r>
      <w:r>
        <w:rPr>
          <w:rFonts w:hint="eastAsia" w:ascii="仿宋" w:hAnsi="仿宋" w:eastAsia="仿宋" w:cs="仿宋"/>
          <w:i w:val="0"/>
          <w:iCs w:val="0"/>
          <w:caps w:val="0"/>
          <w:color w:val="000000"/>
          <w:spacing w:val="0"/>
          <w:sz w:val="28"/>
          <w:szCs w:val="28"/>
          <w:shd w:val="clear" w:fill="FFFFFF"/>
          <w:lang w:val="en-US"/>
        </w:rPr>
        <w:t>20</w:t>
      </w:r>
      <w:r>
        <w:rPr>
          <w:rFonts w:hint="eastAsia" w:ascii="仿宋" w:hAnsi="仿宋" w:eastAsia="仿宋" w:cs="仿宋"/>
          <w:i w:val="0"/>
          <w:iCs w:val="0"/>
          <w:caps w:val="0"/>
          <w:color w:val="000000"/>
          <w:spacing w:val="0"/>
          <w:sz w:val="28"/>
          <w:szCs w:val="28"/>
          <w:shd w:val="clear" w:fill="FFFFFF"/>
          <w:lang w:eastAsia="zh-CN"/>
        </w:rPr>
        <w:t>天内</w:t>
      </w:r>
      <w:r>
        <w:rPr>
          <w:rFonts w:hint="eastAsia" w:ascii="仿宋" w:hAnsi="仿宋" w:eastAsia="仿宋" w:cs="仿宋"/>
          <w:i w:val="0"/>
          <w:iCs w:val="0"/>
          <w:caps w:val="0"/>
          <w:color w:val="000000"/>
          <w:spacing w:val="0"/>
          <w:sz w:val="28"/>
          <w:szCs w:val="28"/>
          <w:shd w:val="clear" w:fill="FFFFFF"/>
        </w:rPr>
        <w:t>。</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outlineLvl w:val="1"/>
        <w:rPr>
          <w:rFonts w:hint="eastAsia" w:ascii="宋体" w:hAnsi="宋体" w:eastAsia="宋体" w:cs="宋体"/>
          <w:color w:val="333333"/>
          <w:kern w:val="0"/>
          <w:szCs w:val="21"/>
        </w:rPr>
      </w:pPr>
      <w:r>
        <w:rPr>
          <w:rFonts w:hint="eastAsia" w:ascii="仿宋" w:hAnsi="仿宋" w:eastAsia="仿宋" w:cs="宋体"/>
          <w:color w:val="333333"/>
          <w:kern w:val="0"/>
          <w:sz w:val="28"/>
          <w:szCs w:val="28"/>
          <w:lang w:eastAsia="zh-CN"/>
        </w:rPr>
        <w:t>（</w:t>
      </w:r>
      <w:r>
        <w:rPr>
          <w:rFonts w:hint="eastAsia" w:ascii="仿宋" w:hAnsi="仿宋" w:eastAsia="仿宋" w:cs="宋体"/>
          <w:color w:val="333333"/>
          <w:kern w:val="0"/>
          <w:sz w:val="28"/>
          <w:szCs w:val="28"/>
          <w:lang w:val="en-US" w:eastAsia="zh-CN"/>
        </w:rPr>
        <w:t>八）</w:t>
      </w:r>
      <w:r>
        <w:rPr>
          <w:rFonts w:hint="eastAsia" w:ascii="仿宋" w:hAnsi="仿宋" w:eastAsia="仿宋" w:cs="宋体"/>
          <w:color w:val="333333"/>
          <w:kern w:val="0"/>
          <w:sz w:val="28"/>
          <w:szCs w:val="28"/>
        </w:rPr>
        <w:t>【</w:t>
      </w:r>
      <w:r>
        <w:rPr>
          <w:rFonts w:hint="eastAsia" w:ascii="仿宋" w:hAnsi="仿宋" w:eastAsia="仿宋" w:cs="宋体"/>
          <w:color w:val="333333"/>
          <w:kern w:val="0"/>
          <w:sz w:val="28"/>
          <w:szCs w:val="28"/>
          <w:shd w:val="clear" w:color="auto" w:fill="FFFFFF"/>
        </w:rPr>
        <w:t>评估时点】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ascii="仿宋" w:hAnsi="仿宋" w:eastAsia="仿宋" w:cs="仿宋"/>
          <w:i w:val="0"/>
          <w:iCs w:val="0"/>
          <w:caps w:val="0"/>
          <w:color w:val="000000"/>
          <w:spacing w:val="0"/>
          <w:sz w:val="28"/>
          <w:szCs w:val="28"/>
          <w:shd w:val="clear" w:fill="FFFFFF"/>
          <w:lang w:eastAsia="zh-CN"/>
        </w:rPr>
        <w:t>自发布《龙川县东风西路（</w:t>
      </w:r>
      <w:r>
        <w:rPr>
          <w:rFonts w:hint="eastAsia" w:ascii="仿宋" w:hAnsi="仿宋" w:eastAsia="仿宋" w:cs="仿宋"/>
          <w:i w:val="0"/>
          <w:iCs w:val="0"/>
          <w:caps w:val="0"/>
          <w:color w:val="000000"/>
          <w:spacing w:val="0"/>
          <w:sz w:val="28"/>
          <w:szCs w:val="28"/>
          <w:shd w:val="clear" w:fill="FFFFFF"/>
          <w:lang w:val="en-US" w:eastAsia="zh-CN"/>
        </w:rPr>
        <w:t>兴泰花园</w:t>
      </w:r>
      <w:r>
        <w:rPr>
          <w:rFonts w:ascii="仿宋" w:hAnsi="仿宋" w:eastAsia="仿宋" w:cs="仿宋"/>
          <w:i w:val="0"/>
          <w:iCs w:val="0"/>
          <w:caps w:val="0"/>
          <w:color w:val="000000"/>
          <w:spacing w:val="0"/>
          <w:sz w:val="28"/>
          <w:szCs w:val="28"/>
          <w:shd w:val="clear" w:fill="FFFFFF"/>
          <w:lang w:eastAsia="zh-CN"/>
        </w:rPr>
        <w:t>段）道路改造项目房屋征收公告》之日为起始时间</w:t>
      </w:r>
      <w:r>
        <w:rPr>
          <w:rFonts w:hint="eastAsia" w:ascii="仿宋" w:hAnsi="仿宋" w:eastAsia="仿宋" w:cs="仿宋"/>
          <w:i w:val="0"/>
          <w:iCs w:val="0"/>
          <w:caps w:val="0"/>
          <w:color w:val="000000"/>
          <w:spacing w:val="0"/>
          <w:sz w:val="28"/>
          <w:szCs w:val="28"/>
          <w:shd w:val="clear" w:fill="FFFFFF"/>
        </w:rPr>
        <w:t>。</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480" w:firstLineChars="200"/>
        <w:jc w:val="left"/>
        <w:rPr>
          <w:rFonts w:hint="eastAsia" w:ascii="宋体" w:hAnsi="宋体" w:eastAsia="宋体" w:cs="宋体"/>
          <w:color w:val="333333"/>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outlineLvl w:val="1"/>
        <w:rPr>
          <w:rFonts w:hint="eastAsia" w:ascii="宋体" w:hAnsi="宋体" w:eastAsia="宋体" w:cs="宋体"/>
          <w:color w:val="333333"/>
          <w:kern w:val="0"/>
          <w:szCs w:val="21"/>
        </w:rPr>
      </w:pPr>
      <w:r>
        <w:rPr>
          <w:rFonts w:hint="eastAsia" w:ascii="仿宋" w:hAnsi="仿宋" w:eastAsia="仿宋" w:cs="宋体"/>
          <w:color w:val="333333"/>
          <w:kern w:val="0"/>
          <w:sz w:val="28"/>
          <w:szCs w:val="28"/>
          <w:lang w:eastAsia="zh-CN"/>
        </w:rPr>
        <w:t>（</w:t>
      </w:r>
      <w:r>
        <w:rPr>
          <w:rFonts w:hint="eastAsia" w:ascii="仿宋" w:hAnsi="仿宋" w:eastAsia="仿宋" w:cs="宋体"/>
          <w:color w:val="333333"/>
          <w:kern w:val="0"/>
          <w:sz w:val="28"/>
          <w:szCs w:val="28"/>
          <w:lang w:val="en-US" w:eastAsia="zh-CN"/>
        </w:rPr>
        <w:t>九）</w:t>
      </w:r>
      <w:r>
        <w:rPr>
          <w:rFonts w:hint="eastAsia" w:ascii="仿宋" w:hAnsi="仿宋" w:eastAsia="仿宋" w:cs="宋体"/>
          <w:color w:val="333333"/>
          <w:kern w:val="0"/>
          <w:sz w:val="28"/>
          <w:szCs w:val="28"/>
        </w:rPr>
        <w:t>【</w:t>
      </w:r>
      <w:r>
        <w:rPr>
          <w:rFonts w:hint="eastAsia" w:ascii="仿宋" w:hAnsi="仿宋" w:eastAsia="仿宋" w:cs="宋体"/>
          <w:color w:val="333333"/>
          <w:kern w:val="0"/>
          <w:sz w:val="28"/>
          <w:szCs w:val="28"/>
          <w:shd w:val="clear" w:color="auto" w:fill="FFFFFF"/>
        </w:rPr>
        <w:t>候选价格评估机构(</w:t>
      </w:r>
      <w:r>
        <w:rPr>
          <w:rFonts w:hint="eastAsia" w:ascii="仿宋" w:hAnsi="仿宋" w:eastAsia="仿宋" w:cs="宋体"/>
          <w:color w:val="333333"/>
          <w:kern w:val="0"/>
          <w:sz w:val="28"/>
          <w:szCs w:val="28"/>
        </w:rPr>
        <w:t>以下简称评估机构)】</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rPr>
          <w:rFonts w:hint="eastAsia" w:ascii="仿宋" w:hAnsi="仿宋" w:eastAsia="仿宋" w:cs="宋体"/>
          <w:color w:val="333333"/>
          <w:kern w:val="0"/>
          <w:sz w:val="28"/>
          <w:szCs w:val="28"/>
          <w:shd w:val="clear" w:color="auto" w:fill="FFFFFF"/>
        </w:rPr>
      </w:pPr>
      <w:r>
        <w:rPr>
          <w:rFonts w:hint="eastAsia" w:ascii="仿宋" w:hAnsi="仿宋" w:eastAsia="仿宋" w:cs="宋体"/>
          <w:color w:val="333333"/>
          <w:kern w:val="0"/>
          <w:sz w:val="28"/>
          <w:szCs w:val="28"/>
          <w:shd w:val="clear" w:color="auto" w:fill="FFFFFF"/>
          <w:lang w:val="en-US" w:eastAsia="zh-CN"/>
        </w:rPr>
        <w:t>1.</w:t>
      </w:r>
      <w:r>
        <w:rPr>
          <w:rFonts w:hint="eastAsia" w:ascii="仿宋" w:hAnsi="仿宋" w:eastAsia="仿宋" w:cs="宋体"/>
          <w:color w:val="333333"/>
          <w:kern w:val="0"/>
          <w:sz w:val="28"/>
          <w:szCs w:val="28"/>
          <w:shd w:val="clear" w:color="auto" w:fill="FFFFFF"/>
        </w:rPr>
        <w:t>深圳市世鹏资产评估房地产土地估价顾问有限公司</w:t>
      </w:r>
      <w:r>
        <w:rPr>
          <w:rFonts w:hint="eastAsia" w:ascii="仿宋" w:hAnsi="仿宋" w:eastAsia="仿宋" w:cs="宋体"/>
          <w:color w:val="333333"/>
          <w:kern w:val="0"/>
          <w:sz w:val="28"/>
          <w:szCs w:val="28"/>
          <w:shd w:val="clear" w:color="auto" w:fill="FFFFFF"/>
          <w:lang w:val="en-US" w:eastAsia="zh-CN"/>
        </w:rPr>
        <w:t>河源分公司</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2.</w:t>
      </w:r>
      <w:r>
        <w:rPr>
          <w:rFonts w:hint="eastAsia" w:ascii="仿宋" w:hAnsi="仿宋" w:eastAsia="仿宋" w:cs="宋体"/>
          <w:color w:val="333333"/>
          <w:kern w:val="0"/>
          <w:sz w:val="28"/>
          <w:szCs w:val="28"/>
          <w:shd w:val="clear" w:color="auto" w:fill="FFFFFF"/>
        </w:rPr>
        <w:t>河源易思房地产土地估价有限公司</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outlineLvl w:val="1"/>
        <w:rPr>
          <w:rFonts w:hint="eastAsia" w:ascii="宋体" w:hAnsi="宋体" w:eastAsia="宋体" w:cs="宋体"/>
          <w:color w:val="333333"/>
          <w:kern w:val="0"/>
          <w:szCs w:val="21"/>
        </w:rPr>
      </w:pP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lang w:val="en-US" w:eastAsia="zh-CN"/>
        </w:rPr>
        <w:t>十）</w:t>
      </w:r>
      <w:r>
        <w:rPr>
          <w:rFonts w:hint="eastAsia" w:ascii="仿宋" w:hAnsi="仿宋" w:eastAsia="仿宋" w:cs="宋体"/>
          <w:color w:val="333333"/>
          <w:kern w:val="0"/>
          <w:sz w:val="28"/>
          <w:szCs w:val="28"/>
        </w:rPr>
        <w:t>【</w:t>
      </w:r>
      <w:r>
        <w:rPr>
          <w:rFonts w:hint="eastAsia" w:ascii="仿宋" w:hAnsi="仿宋" w:eastAsia="仿宋" w:cs="宋体"/>
          <w:color w:val="333333"/>
          <w:kern w:val="0"/>
          <w:sz w:val="28"/>
          <w:szCs w:val="28"/>
          <w:shd w:val="clear" w:color="auto" w:fill="FFFFFF"/>
        </w:rPr>
        <w:t>征收实施步骤】</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rPr>
        <w:t>自发布本项目征收决定后，按照以下程序开展征收工作：</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1.</w:t>
      </w:r>
      <w:r>
        <w:rPr>
          <w:rFonts w:hint="eastAsia" w:ascii="仿宋" w:hAnsi="仿宋" w:eastAsia="仿宋" w:cs="宋体"/>
          <w:color w:val="333333"/>
          <w:kern w:val="0"/>
          <w:sz w:val="28"/>
          <w:szCs w:val="28"/>
        </w:rPr>
        <w:t>现场公示：</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rPr>
        <w:t>1</w:t>
      </w: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rPr>
        <w:t>.</w:t>
      </w:r>
      <w:r>
        <w:rPr>
          <w:rFonts w:ascii="仿宋" w:hAnsi="仿宋" w:eastAsia="仿宋" w:cs="仿宋"/>
          <w:i w:val="0"/>
          <w:iCs w:val="0"/>
          <w:caps w:val="0"/>
          <w:color w:val="000000"/>
          <w:spacing w:val="0"/>
          <w:sz w:val="28"/>
          <w:szCs w:val="28"/>
          <w:shd w:val="clear" w:fill="FFFFFF"/>
          <w:lang w:eastAsia="zh-CN"/>
        </w:rPr>
        <w:t>《龙川县东风西路（</w:t>
      </w:r>
      <w:r>
        <w:rPr>
          <w:rFonts w:hint="eastAsia" w:ascii="仿宋" w:hAnsi="仿宋" w:eastAsia="仿宋" w:cs="仿宋"/>
          <w:i w:val="0"/>
          <w:iCs w:val="0"/>
          <w:caps w:val="0"/>
          <w:color w:val="000000"/>
          <w:spacing w:val="0"/>
          <w:sz w:val="28"/>
          <w:szCs w:val="28"/>
          <w:shd w:val="clear" w:fill="FFFFFF"/>
          <w:lang w:val="en-US" w:eastAsia="zh-CN"/>
        </w:rPr>
        <w:t>兴泰花园</w:t>
      </w:r>
      <w:r>
        <w:rPr>
          <w:rFonts w:ascii="仿宋" w:hAnsi="仿宋" w:eastAsia="仿宋" w:cs="仿宋"/>
          <w:i w:val="0"/>
          <w:iCs w:val="0"/>
          <w:caps w:val="0"/>
          <w:color w:val="000000"/>
          <w:spacing w:val="0"/>
          <w:sz w:val="28"/>
          <w:szCs w:val="28"/>
          <w:shd w:val="clear" w:fill="FFFFFF"/>
          <w:lang w:eastAsia="zh-CN"/>
        </w:rPr>
        <w:t>段）道路改造项目房屋征收公告》</w:t>
      </w:r>
      <w:r>
        <w:rPr>
          <w:rFonts w:hint="eastAsia" w:ascii="仿宋" w:hAnsi="仿宋" w:eastAsia="仿宋" w:cs="宋体"/>
          <w:color w:val="333333"/>
          <w:kern w:val="0"/>
          <w:sz w:val="28"/>
          <w:szCs w:val="28"/>
          <w:shd w:val="clear" w:color="auto" w:fill="FFFFFF"/>
        </w:rPr>
        <w:t>；</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rPr>
        <w:t>2</w:t>
      </w: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rPr>
        <w:t>.</w:t>
      </w:r>
      <w:r>
        <w:rPr>
          <w:rFonts w:ascii="仿宋" w:hAnsi="仿宋" w:eastAsia="仿宋" w:cs="仿宋"/>
          <w:i w:val="0"/>
          <w:iCs w:val="0"/>
          <w:caps w:val="0"/>
          <w:color w:val="000000"/>
          <w:spacing w:val="0"/>
          <w:sz w:val="28"/>
          <w:szCs w:val="28"/>
          <w:shd w:val="clear" w:fill="FFFFFF"/>
        </w:rPr>
        <w:t>《龙川县东风西路（</w:t>
      </w:r>
      <w:r>
        <w:rPr>
          <w:rFonts w:hint="eastAsia" w:ascii="仿宋" w:hAnsi="仿宋" w:eastAsia="仿宋" w:cs="仿宋"/>
          <w:i w:val="0"/>
          <w:iCs w:val="0"/>
          <w:caps w:val="0"/>
          <w:color w:val="000000"/>
          <w:spacing w:val="0"/>
          <w:sz w:val="28"/>
          <w:szCs w:val="28"/>
          <w:shd w:val="clear" w:fill="FFFFFF"/>
          <w:lang w:val="en-US" w:eastAsia="zh-CN"/>
        </w:rPr>
        <w:t>兴泰花园</w:t>
      </w:r>
      <w:r>
        <w:rPr>
          <w:rFonts w:ascii="仿宋" w:hAnsi="仿宋" w:eastAsia="仿宋" w:cs="仿宋"/>
          <w:i w:val="0"/>
          <w:iCs w:val="0"/>
          <w:caps w:val="0"/>
          <w:color w:val="000000"/>
          <w:spacing w:val="0"/>
          <w:sz w:val="28"/>
          <w:szCs w:val="28"/>
          <w:shd w:val="clear" w:fill="FFFFFF"/>
          <w:lang w:eastAsia="zh-CN"/>
        </w:rPr>
        <w:t>段</w:t>
      </w:r>
      <w:r>
        <w:rPr>
          <w:rFonts w:ascii="仿宋" w:hAnsi="仿宋" w:eastAsia="仿宋" w:cs="仿宋"/>
          <w:i w:val="0"/>
          <w:iCs w:val="0"/>
          <w:caps w:val="0"/>
          <w:color w:val="000000"/>
          <w:spacing w:val="0"/>
          <w:sz w:val="28"/>
          <w:szCs w:val="28"/>
          <w:shd w:val="clear" w:fill="FFFFFF"/>
        </w:rPr>
        <w:t>）道路改造项目房屋征收与补偿方案》</w:t>
      </w:r>
      <w:r>
        <w:rPr>
          <w:rFonts w:hint="eastAsia" w:ascii="仿宋" w:hAnsi="仿宋" w:eastAsia="仿宋" w:cs="宋体"/>
          <w:color w:val="333333"/>
          <w:kern w:val="0"/>
          <w:sz w:val="28"/>
          <w:szCs w:val="28"/>
          <w:shd w:val="clear" w:color="auto" w:fill="FFFFFF"/>
        </w:rPr>
        <w:t>；</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rPr>
        <w:t>3</w:t>
      </w: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rPr>
        <w:t>.</w:t>
      </w:r>
      <w:r>
        <w:rPr>
          <w:rFonts w:hint="eastAsia" w:ascii="仿宋" w:hAnsi="仿宋" w:eastAsia="仿宋" w:cs="宋体"/>
          <w:color w:val="333333"/>
          <w:kern w:val="0"/>
          <w:sz w:val="28"/>
          <w:szCs w:val="28"/>
        </w:rPr>
        <w:t>国家、省、市房屋征收与补偿有关的法规、规范性文件等；</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rPr>
        <w:t>4</w:t>
      </w: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rPr>
        <w:t>.</w:t>
      </w:r>
      <w:r>
        <w:rPr>
          <w:rFonts w:hint="eastAsia" w:ascii="仿宋" w:hAnsi="仿宋" w:eastAsia="仿宋" w:cs="宋体"/>
          <w:color w:val="333333"/>
          <w:kern w:val="0"/>
          <w:sz w:val="28"/>
          <w:szCs w:val="28"/>
        </w:rPr>
        <w:t>征收实施单位名称、征收工作人员名单等。</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2.</w:t>
      </w:r>
      <w:r>
        <w:rPr>
          <w:rFonts w:hint="eastAsia" w:ascii="仿宋" w:hAnsi="仿宋" w:eastAsia="仿宋" w:cs="宋体"/>
          <w:color w:val="333333"/>
          <w:kern w:val="0"/>
          <w:sz w:val="28"/>
          <w:szCs w:val="28"/>
        </w:rPr>
        <w:t>征收实施单位应将</w:t>
      </w:r>
      <w:r>
        <w:rPr>
          <w:rFonts w:ascii="仿宋" w:hAnsi="仿宋" w:eastAsia="仿宋" w:cs="仿宋"/>
          <w:i w:val="0"/>
          <w:iCs w:val="0"/>
          <w:caps w:val="0"/>
          <w:color w:val="000000"/>
          <w:spacing w:val="0"/>
          <w:sz w:val="28"/>
          <w:szCs w:val="28"/>
          <w:shd w:val="clear" w:fill="FFFFFF"/>
        </w:rPr>
        <w:t>《龙川县东风西路（</w:t>
      </w:r>
      <w:r>
        <w:rPr>
          <w:rFonts w:hint="eastAsia" w:ascii="仿宋" w:hAnsi="仿宋" w:eastAsia="仿宋" w:cs="仿宋"/>
          <w:i w:val="0"/>
          <w:iCs w:val="0"/>
          <w:caps w:val="0"/>
          <w:color w:val="000000"/>
          <w:spacing w:val="0"/>
          <w:sz w:val="28"/>
          <w:szCs w:val="28"/>
          <w:shd w:val="clear" w:fill="FFFFFF"/>
          <w:lang w:val="en-US" w:eastAsia="zh-CN"/>
        </w:rPr>
        <w:t>兴泰花园</w:t>
      </w:r>
      <w:r>
        <w:rPr>
          <w:rFonts w:ascii="仿宋" w:hAnsi="仿宋" w:eastAsia="仿宋" w:cs="仿宋"/>
          <w:i w:val="0"/>
          <w:iCs w:val="0"/>
          <w:caps w:val="0"/>
          <w:color w:val="000000"/>
          <w:spacing w:val="0"/>
          <w:sz w:val="28"/>
          <w:szCs w:val="28"/>
          <w:shd w:val="clear" w:fill="FFFFFF"/>
          <w:lang w:eastAsia="zh-CN"/>
        </w:rPr>
        <w:t>段</w:t>
      </w:r>
      <w:r>
        <w:rPr>
          <w:rFonts w:ascii="仿宋" w:hAnsi="仿宋" w:eastAsia="仿宋" w:cs="仿宋"/>
          <w:i w:val="0"/>
          <w:iCs w:val="0"/>
          <w:caps w:val="0"/>
          <w:color w:val="000000"/>
          <w:spacing w:val="0"/>
          <w:sz w:val="28"/>
          <w:szCs w:val="28"/>
          <w:shd w:val="clear" w:fill="FFFFFF"/>
        </w:rPr>
        <w:t>）道路改造项目房屋征收与补偿方案》</w:t>
      </w:r>
      <w:r>
        <w:rPr>
          <w:rFonts w:hint="eastAsia" w:ascii="仿宋" w:hAnsi="仿宋" w:eastAsia="仿宋" w:cs="宋体"/>
          <w:color w:val="333333"/>
          <w:kern w:val="0"/>
          <w:sz w:val="28"/>
          <w:szCs w:val="28"/>
          <w:shd w:val="clear" w:color="auto" w:fill="FFFFFF"/>
        </w:rPr>
        <w:t>发放给被征收人。</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3.</w:t>
      </w:r>
      <w:r>
        <w:rPr>
          <w:rFonts w:hint="eastAsia" w:ascii="仿宋" w:hAnsi="仿宋" w:eastAsia="仿宋" w:cs="宋体"/>
          <w:color w:val="333333"/>
          <w:kern w:val="0"/>
          <w:sz w:val="28"/>
          <w:szCs w:val="28"/>
        </w:rPr>
        <w:t>确定评估机构。评估机构由被征收人协商选定，协商不成的，由房屋征收部门组织被征收人通过多数决定、随机选定等方式确定。</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4.</w:t>
      </w:r>
      <w:r>
        <w:rPr>
          <w:rFonts w:hint="eastAsia" w:ascii="仿宋" w:hAnsi="仿宋" w:eastAsia="仿宋" w:cs="宋体"/>
          <w:color w:val="333333"/>
          <w:kern w:val="0"/>
          <w:sz w:val="28"/>
          <w:szCs w:val="28"/>
        </w:rPr>
        <w:t>评估机构对被征收范围内地上建筑物进行评估。被征收人应当协助注册房地产估价师对被征收地上建筑物进行实地查勘，提供或者协助搜集被征收地上建筑物价值评估所必需的情况和资料。</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5.</w:t>
      </w:r>
      <w:r>
        <w:rPr>
          <w:rFonts w:hint="eastAsia" w:ascii="仿宋" w:hAnsi="仿宋" w:eastAsia="仿宋" w:cs="宋体"/>
          <w:color w:val="333333"/>
          <w:kern w:val="0"/>
          <w:sz w:val="28"/>
          <w:szCs w:val="28"/>
        </w:rPr>
        <w:t>公示初步评估结果。征收实施单位应当将初步评估结果在征收范围内向被征收人公示。公示期间，评估机构应当安排注册房地产估价师对初步评估结果进行现场说明解释。对评估结果有异议的，可以向房地产价格评估机构申请复核评估。对复核结果有异议的，可以向房地产价格评估专家委员会申请鉴定。</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6.</w:t>
      </w:r>
      <w:r>
        <w:rPr>
          <w:rFonts w:hint="eastAsia" w:ascii="仿宋" w:hAnsi="仿宋" w:eastAsia="仿宋" w:cs="宋体"/>
          <w:color w:val="333333"/>
          <w:kern w:val="0"/>
          <w:sz w:val="28"/>
          <w:szCs w:val="28"/>
        </w:rPr>
        <w:t>签约期限内，由征收实施单位与被征收人签订征收补偿协议。签订补偿协议时被征收人需带户口簿、身份证、营业执照等原件和复印件。</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7.</w:t>
      </w:r>
      <w:r>
        <w:rPr>
          <w:rFonts w:hint="eastAsia" w:ascii="仿宋" w:hAnsi="仿宋" w:eastAsia="仿宋" w:cs="宋体"/>
          <w:color w:val="333333"/>
          <w:kern w:val="0"/>
          <w:sz w:val="28"/>
          <w:szCs w:val="28"/>
        </w:rPr>
        <w:t>签约期限届满，被征收人未能达成补偿协议的，由房屋征收部门报请镇、县政府，按照征收补偿方案作出征收补偿决定，并在征收范围内予以公告。</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rPr>
        <w:t>被征收人应当自觉履行地上建筑物征收补偿决定，如不服该征收补偿决定，可以在征收补偿决定作出之日起</w:t>
      </w:r>
      <w:r>
        <w:rPr>
          <w:rFonts w:hint="eastAsia" w:ascii="仿宋" w:hAnsi="仿宋" w:eastAsia="仿宋" w:cs="宋体"/>
          <w:color w:val="333333"/>
          <w:kern w:val="0"/>
          <w:sz w:val="28"/>
          <w:szCs w:val="28"/>
        </w:rPr>
        <w:t>60日内依法申请行政复议，或者在6个月内向人民法院提起行政诉讼。</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rPr>
        <w:t>被征收人在法定期限内既不申请行政复议又不提起行政诉讼，在补偿决定规定的期限内又不搬迁的，由县政府申请属地人民法院强制执行。</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8.</w:t>
      </w:r>
      <w:r>
        <w:rPr>
          <w:rFonts w:hint="eastAsia" w:ascii="仿宋" w:hAnsi="仿宋" w:eastAsia="仿宋" w:cs="宋体"/>
          <w:color w:val="333333"/>
          <w:kern w:val="0"/>
          <w:sz w:val="28"/>
          <w:szCs w:val="28"/>
        </w:rPr>
        <w:t>货币补偿在签订补偿协议并搬迁完毕，经征收工作人员验收后领取补偿款，补偿工作结束。</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9.</w:t>
      </w:r>
      <w:r>
        <w:rPr>
          <w:rFonts w:hint="eastAsia" w:ascii="仿宋" w:hAnsi="仿宋" w:eastAsia="仿宋" w:cs="宋体"/>
          <w:color w:val="333333"/>
          <w:kern w:val="0"/>
          <w:sz w:val="28"/>
          <w:szCs w:val="28"/>
        </w:rPr>
        <w:t>公布补偿结果。房屋征收部门应当建立征收补偿档案，并将补偿情况在征收范围内向被征收人公布。</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480" w:firstLineChars="200"/>
        <w:jc w:val="left"/>
        <w:rPr>
          <w:rFonts w:hint="eastAsia" w:ascii="宋体" w:hAnsi="宋体" w:eastAsia="宋体" w:cs="宋体"/>
          <w:color w:val="333333"/>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outlineLvl w:val="1"/>
        <w:rPr>
          <w:rFonts w:hint="eastAsia" w:ascii="宋体" w:hAnsi="宋体" w:eastAsia="宋体" w:cs="宋体"/>
          <w:color w:val="333333"/>
          <w:kern w:val="0"/>
          <w:szCs w:val="21"/>
        </w:rPr>
      </w:pP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lang w:val="en-US" w:eastAsia="zh-CN"/>
        </w:rPr>
        <w:t>十一）</w:t>
      </w:r>
      <w:r>
        <w:rPr>
          <w:rFonts w:hint="eastAsia" w:ascii="仿宋" w:hAnsi="仿宋" w:eastAsia="仿宋" w:cs="宋体"/>
          <w:color w:val="333333"/>
          <w:kern w:val="0"/>
          <w:sz w:val="28"/>
          <w:szCs w:val="28"/>
        </w:rPr>
        <w:t>【</w:t>
      </w:r>
      <w:r>
        <w:rPr>
          <w:rFonts w:hint="eastAsia" w:ascii="仿宋" w:hAnsi="仿宋" w:eastAsia="仿宋" w:cs="宋体"/>
          <w:color w:val="333333"/>
          <w:kern w:val="0"/>
          <w:sz w:val="28"/>
          <w:szCs w:val="28"/>
          <w:shd w:val="clear" w:color="auto" w:fill="FFFFFF"/>
        </w:rPr>
        <w:t>其他有关事项】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1.</w:t>
      </w:r>
      <w:r>
        <w:rPr>
          <w:rFonts w:hint="eastAsia" w:ascii="仿宋" w:hAnsi="仿宋" w:eastAsia="仿宋" w:cs="宋体"/>
          <w:color w:val="333333"/>
          <w:kern w:val="0"/>
          <w:sz w:val="28"/>
          <w:szCs w:val="28"/>
        </w:rPr>
        <w:t>被征收地上建筑物的水、电、固定电话、有线电视、宽带网络、管道燃气等迁移、转户、销户手续，由被征收人自行到有关部门申请办理，并负责结清已使用的水、电、电话、电视、燃气等费用。</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2.</w:t>
      </w:r>
      <w:r>
        <w:rPr>
          <w:rFonts w:hint="eastAsia" w:ascii="仿宋" w:hAnsi="仿宋" w:eastAsia="仿宋" w:cs="宋体"/>
          <w:color w:val="333333"/>
          <w:kern w:val="0"/>
          <w:sz w:val="28"/>
          <w:szCs w:val="28"/>
        </w:rPr>
        <w:t>征收权属不明确的地上建筑物，由房屋征收部门提出补偿方案，报镇、县政府同意，并向公证机关办理证据保全后实施征收，待产权明确后再补偿给产权所有人。</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lang w:val="en-US" w:eastAsia="zh-CN"/>
        </w:rPr>
        <w:t>3.</w:t>
      </w:r>
      <w:r>
        <w:rPr>
          <w:rFonts w:hint="eastAsia" w:ascii="仿宋" w:hAnsi="仿宋" w:eastAsia="仿宋" w:cs="宋体"/>
          <w:color w:val="333333"/>
          <w:kern w:val="0"/>
          <w:sz w:val="28"/>
          <w:szCs w:val="28"/>
        </w:rPr>
        <w:t>本方案未列明事项可参照《河源市城市规划区房屋征收与补偿实施办法》(河府〔2017〕44号)及市、县政府相关文件执行。</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480" w:firstLineChars="200"/>
        <w:jc w:val="left"/>
        <w:rPr>
          <w:rFonts w:hint="eastAsia" w:ascii="宋体" w:hAnsi="宋体" w:eastAsia="宋体" w:cs="宋体"/>
          <w:color w:val="333333"/>
          <w:kern w:val="0"/>
          <w:sz w:val="24"/>
          <w:szCs w:val="24"/>
        </w:rPr>
      </w:pPr>
      <w:bookmarkStart w:id="60" w:name="_Toc396227894"/>
      <w:bookmarkEnd w:id="60"/>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723" w:firstLineChars="200"/>
        <w:jc w:val="center"/>
        <w:textAlignment w:val="center"/>
        <w:outlineLvl w:val="0"/>
        <w:rPr>
          <w:rFonts w:hint="eastAsia" w:ascii="宋体" w:hAnsi="宋体" w:eastAsia="宋体" w:cs="宋体"/>
          <w:color w:val="333333"/>
          <w:kern w:val="36"/>
          <w:sz w:val="27"/>
          <w:szCs w:val="27"/>
        </w:rPr>
      </w:pPr>
      <w:bookmarkStart w:id="61" w:name="_Toc482714423"/>
      <w:bookmarkEnd w:id="61"/>
      <w:bookmarkStart w:id="62" w:name="_Toc2357"/>
      <w:bookmarkEnd w:id="62"/>
      <w:bookmarkStart w:id="63" w:name="_Toc25847"/>
      <w:bookmarkEnd w:id="63"/>
      <w:bookmarkStart w:id="64" w:name="_Toc22542"/>
      <w:bookmarkEnd w:id="64"/>
      <w:bookmarkStart w:id="65" w:name="_Toc12979"/>
      <w:bookmarkEnd w:id="65"/>
      <w:bookmarkStart w:id="66" w:name="_Toc16717"/>
      <w:bookmarkEnd w:id="66"/>
      <w:bookmarkStart w:id="67" w:name="_Toc396227900"/>
      <w:bookmarkEnd w:id="67"/>
      <w:bookmarkStart w:id="68" w:name="_Toc488153841"/>
      <w:bookmarkEnd w:id="68"/>
      <w:bookmarkStart w:id="69" w:name="_Toc26752"/>
      <w:bookmarkEnd w:id="69"/>
      <w:r>
        <w:rPr>
          <w:rFonts w:hint="eastAsia" w:ascii="仿宋" w:hAnsi="仿宋" w:eastAsia="仿宋" w:cs="宋体"/>
          <w:b/>
          <w:bCs/>
          <w:color w:val="333333"/>
          <w:kern w:val="36"/>
          <w:sz w:val="36"/>
          <w:szCs w:val="36"/>
          <w:shd w:val="clear" w:color="auto" w:fill="FFFFFF"/>
          <w:lang w:val="en-US" w:eastAsia="zh-CN"/>
        </w:rPr>
        <w:t>二、</w:t>
      </w:r>
      <w:r>
        <w:rPr>
          <w:rFonts w:hint="eastAsia" w:ascii="仿宋" w:hAnsi="仿宋" w:eastAsia="仿宋" w:cs="宋体"/>
          <w:b/>
          <w:bCs/>
          <w:color w:val="333333"/>
          <w:kern w:val="36"/>
          <w:sz w:val="36"/>
          <w:szCs w:val="36"/>
          <w:shd w:val="clear" w:color="auto" w:fill="FFFFFF"/>
        </w:rPr>
        <w:t>货币补偿方案</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outlineLvl w:val="1"/>
        <w:rPr>
          <w:rFonts w:hint="eastAsia" w:ascii="宋体" w:hAnsi="宋体" w:eastAsia="宋体" w:cs="宋体"/>
          <w:color w:val="333333"/>
          <w:kern w:val="0"/>
          <w:szCs w:val="21"/>
        </w:rPr>
      </w:pPr>
      <w:bookmarkStart w:id="70" w:name="_Toc20377"/>
      <w:bookmarkEnd w:id="70"/>
      <w:bookmarkStart w:id="71" w:name="_Toc27196"/>
      <w:bookmarkEnd w:id="71"/>
      <w:bookmarkStart w:id="72" w:name="_Toc26465"/>
      <w:bookmarkEnd w:id="72"/>
      <w:bookmarkStart w:id="73" w:name="_Toc10753"/>
      <w:bookmarkEnd w:id="73"/>
      <w:bookmarkStart w:id="74" w:name="_Toc488153842"/>
      <w:bookmarkEnd w:id="74"/>
      <w:bookmarkStart w:id="75" w:name="_Toc4897"/>
      <w:bookmarkEnd w:id="75"/>
      <w:bookmarkStart w:id="76" w:name="_Toc482714425"/>
      <w:bookmarkEnd w:id="76"/>
      <w:bookmarkStart w:id="77" w:name="_Toc9909"/>
      <w:bookmarkEnd w:id="77"/>
      <w:bookmarkStart w:id="78" w:name="_Toc27005"/>
      <w:bookmarkEnd w:id="78"/>
      <w:bookmarkStart w:id="79" w:name="_Toc403757414"/>
      <w:bookmarkEnd w:id="79"/>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lang w:val="en-US" w:eastAsia="zh-CN"/>
        </w:rPr>
        <w:t>一）</w:t>
      </w:r>
      <w:r>
        <w:rPr>
          <w:rFonts w:hint="eastAsia" w:ascii="仿宋" w:hAnsi="仿宋" w:eastAsia="仿宋" w:cs="宋体"/>
          <w:color w:val="333333"/>
          <w:kern w:val="0"/>
          <w:sz w:val="28"/>
          <w:szCs w:val="28"/>
          <w:shd w:val="clear" w:color="auto" w:fill="FFFFFF"/>
        </w:rPr>
        <w:t>【货币补偿】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rPr>
          <w:rFonts w:hint="eastAsia" w:ascii="仿宋" w:hAnsi="仿宋" w:eastAsia="仿宋" w:cs="仿宋"/>
          <w:i w:val="0"/>
          <w:iCs w:val="0"/>
          <w:caps w:val="0"/>
          <w:color w:val="000000"/>
          <w:spacing w:val="0"/>
          <w:sz w:val="28"/>
          <w:szCs w:val="28"/>
          <w:lang w:eastAsia="zh-CN"/>
        </w:rPr>
      </w:pPr>
      <w:r>
        <w:rPr>
          <w:rFonts w:ascii="仿宋" w:hAnsi="仿宋" w:eastAsia="仿宋" w:cs="仿宋"/>
          <w:i w:val="0"/>
          <w:iCs w:val="0"/>
          <w:caps w:val="0"/>
          <w:color w:val="000000"/>
          <w:spacing w:val="0"/>
          <w:sz w:val="28"/>
          <w:szCs w:val="28"/>
          <w:lang w:eastAsia="zh-CN"/>
        </w:rPr>
        <w:t>被征收人被征收房屋的补偿金额，由镇房屋征收小组协同被征收人选定具有相应资质的房地产评估机构参照《国有土地上房屋征收评估办法》（建房〔</w:t>
      </w:r>
      <w:r>
        <w:rPr>
          <w:rFonts w:hint="eastAsia" w:ascii="仿宋" w:hAnsi="仿宋" w:eastAsia="仿宋" w:cs="仿宋"/>
          <w:i w:val="0"/>
          <w:iCs w:val="0"/>
          <w:caps w:val="0"/>
          <w:color w:val="000000"/>
          <w:spacing w:val="0"/>
          <w:sz w:val="28"/>
          <w:szCs w:val="28"/>
        </w:rPr>
        <w:t>2011</w:t>
      </w:r>
      <w:r>
        <w:rPr>
          <w:rFonts w:hint="eastAsia" w:ascii="仿宋" w:hAnsi="仿宋" w:eastAsia="仿宋" w:cs="仿宋"/>
          <w:i w:val="0"/>
          <w:iCs w:val="0"/>
          <w:caps w:val="0"/>
          <w:color w:val="000000"/>
          <w:spacing w:val="0"/>
          <w:sz w:val="28"/>
          <w:szCs w:val="28"/>
          <w:lang w:eastAsia="zh-CN"/>
        </w:rPr>
        <w:t>〕</w:t>
      </w:r>
      <w:r>
        <w:rPr>
          <w:rFonts w:hint="eastAsia" w:ascii="仿宋" w:hAnsi="仿宋" w:eastAsia="仿宋" w:cs="仿宋"/>
          <w:i w:val="0"/>
          <w:iCs w:val="0"/>
          <w:caps w:val="0"/>
          <w:color w:val="000000"/>
          <w:spacing w:val="0"/>
          <w:sz w:val="28"/>
          <w:szCs w:val="28"/>
        </w:rPr>
        <w:t>77</w:t>
      </w:r>
      <w:r>
        <w:rPr>
          <w:rFonts w:hint="eastAsia" w:ascii="仿宋" w:hAnsi="仿宋" w:eastAsia="仿宋" w:cs="仿宋"/>
          <w:i w:val="0"/>
          <w:iCs w:val="0"/>
          <w:caps w:val="0"/>
          <w:color w:val="000000"/>
          <w:spacing w:val="0"/>
          <w:sz w:val="28"/>
          <w:szCs w:val="28"/>
          <w:lang w:eastAsia="zh-CN"/>
        </w:rPr>
        <w:t>号）及河源市区房屋征收、</w:t>
      </w:r>
      <w:r>
        <w:rPr>
          <w:rFonts w:hint="eastAsia" w:ascii="仿宋" w:hAnsi="仿宋" w:eastAsia="仿宋" w:cs="仿宋"/>
          <w:i w:val="0"/>
          <w:iCs w:val="0"/>
          <w:caps w:val="0"/>
          <w:color w:val="000000"/>
          <w:spacing w:val="0"/>
          <w:sz w:val="28"/>
          <w:szCs w:val="28"/>
          <w:lang w:val="en-US" w:eastAsia="zh-CN"/>
        </w:rPr>
        <w:t>县政府</w:t>
      </w:r>
      <w:r>
        <w:rPr>
          <w:rFonts w:hint="eastAsia" w:ascii="仿宋" w:hAnsi="仿宋" w:eastAsia="仿宋" w:cs="仿宋"/>
          <w:i w:val="0"/>
          <w:iCs w:val="0"/>
          <w:caps w:val="0"/>
          <w:color w:val="000000"/>
          <w:spacing w:val="0"/>
          <w:sz w:val="28"/>
          <w:szCs w:val="28"/>
          <w:lang w:eastAsia="zh-CN"/>
        </w:rPr>
        <w:t>相关规定进行评估确定。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jc w:val="left"/>
        <w:rPr>
          <w:rFonts w:hint="eastAsia" w:ascii="宋体" w:hAnsi="宋体" w:eastAsia="宋体" w:cs="宋体"/>
          <w:i w:val="0"/>
          <w:iCs w:val="0"/>
          <w:caps w:val="0"/>
          <w:color w:val="000000"/>
          <w:spacing w:val="0"/>
          <w:sz w:val="24"/>
          <w:szCs w:val="24"/>
        </w:rPr>
      </w:pPr>
      <w:r>
        <w:rPr>
          <w:rFonts w:ascii="仿宋" w:hAnsi="仿宋" w:eastAsia="仿宋" w:cs="仿宋"/>
          <w:i w:val="0"/>
          <w:iCs w:val="0"/>
          <w:caps w:val="0"/>
          <w:color w:val="auto"/>
          <w:spacing w:val="0"/>
          <w:sz w:val="28"/>
          <w:szCs w:val="28"/>
          <w:shd w:val="clear" w:fill="FFFFFF"/>
          <w:lang w:eastAsia="zh-CN"/>
        </w:rPr>
        <w:t>货币补偿在签订补偿协议之日起</w:t>
      </w:r>
      <w:r>
        <w:rPr>
          <w:rFonts w:hint="eastAsia" w:ascii="仿宋" w:hAnsi="仿宋" w:eastAsia="仿宋" w:cs="仿宋"/>
          <w:i w:val="0"/>
          <w:iCs w:val="0"/>
          <w:caps w:val="0"/>
          <w:color w:val="auto"/>
          <w:spacing w:val="0"/>
          <w:sz w:val="28"/>
          <w:szCs w:val="28"/>
          <w:shd w:val="clear" w:fill="FFFFFF"/>
        </w:rPr>
        <w:t>5</w:t>
      </w:r>
      <w:r>
        <w:rPr>
          <w:rFonts w:hint="eastAsia" w:ascii="仿宋" w:hAnsi="仿宋" w:eastAsia="仿宋" w:cs="仿宋"/>
          <w:i w:val="0"/>
          <w:iCs w:val="0"/>
          <w:caps w:val="0"/>
          <w:color w:val="auto"/>
          <w:spacing w:val="0"/>
          <w:sz w:val="28"/>
          <w:szCs w:val="28"/>
          <w:shd w:val="clear" w:fill="FFFFFF"/>
          <w:lang w:eastAsia="zh-CN"/>
        </w:rPr>
        <w:t>个工作日</w:t>
      </w:r>
      <w:r>
        <w:rPr>
          <w:rFonts w:hint="eastAsia" w:ascii="仿宋" w:hAnsi="仿宋" w:eastAsia="仿宋" w:cs="仿宋"/>
          <w:i w:val="0"/>
          <w:iCs w:val="0"/>
          <w:caps w:val="0"/>
          <w:color w:val="auto"/>
          <w:spacing w:val="0"/>
          <w:sz w:val="28"/>
          <w:szCs w:val="28"/>
          <w:shd w:val="clear" w:fill="FFFFFF"/>
          <w:lang w:val="en-US" w:eastAsia="zh-CN"/>
        </w:rPr>
        <w:t>一次性</w:t>
      </w:r>
      <w:r>
        <w:rPr>
          <w:rFonts w:hint="eastAsia" w:ascii="仿宋" w:hAnsi="仿宋" w:eastAsia="仿宋" w:cs="仿宋"/>
          <w:i w:val="0"/>
          <w:iCs w:val="0"/>
          <w:caps w:val="0"/>
          <w:color w:val="auto"/>
          <w:spacing w:val="0"/>
          <w:sz w:val="28"/>
          <w:szCs w:val="28"/>
          <w:shd w:val="clear" w:fill="FFFFFF"/>
          <w:lang w:eastAsia="zh-CN"/>
        </w:rPr>
        <w:t>支付</w:t>
      </w:r>
      <w:r>
        <w:rPr>
          <w:rFonts w:hint="eastAsia" w:ascii="仿宋" w:hAnsi="仿宋" w:eastAsia="仿宋" w:cs="仿宋"/>
          <w:i w:val="0"/>
          <w:iCs w:val="0"/>
          <w:caps w:val="0"/>
          <w:color w:val="auto"/>
          <w:spacing w:val="0"/>
          <w:sz w:val="28"/>
          <w:szCs w:val="28"/>
          <w:shd w:val="clear" w:fill="FFFFFF"/>
          <w:lang w:val="en-US" w:eastAsia="zh-CN"/>
        </w:rPr>
        <w:t>10</w:t>
      </w:r>
      <w:r>
        <w:rPr>
          <w:rFonts w:hint="eastAsia" w:ascii="仿宋" w:hAnsi="仿宋" w:eastAsia="仿宋" w:cs="仿宋"/>
          <w:i w:val="0"/>
          <w:iCs w:val="0"/>
          <w:caps w:val="0"/>
          <w:color w:val="auto"/>
          <w:spacing w:val="0"/>
          <w:sz w:val="28"/>
          <w:szCs w:val="28"/>
          <w:shd w:val="clear" w:fill="FFFFFF"/>
        </w:rPr>
        <w:t>0%</w:t>
      </w:r>
      <w:r>
        <w:rPr>
          <w:rFonts w:hint="eastAsia" w:ascii="仿宋" w:hAnsi="仿宋" w:eastAsia="仿宋" w:cs="仿宋"/>
          <w:i w:val="0"/>
          <w:iCs w:val="0"/>
          <w:caps w:val="0"/>
          <w:color w:val="auto"/>
          <w:spacing w:val="0"/>
          <w:sz w:val="28"/>
          <w:szCs w:val="28"/>
          <w:shd w:val="clear" w:fill="FFFFFF"/>
          <w:lang w:eastAsia="zh-CN"/>
        </w:rPr>
        <w:t>补偿款，被征收人必须在</w:t>
      </w:r>
      <w:r>
        <w:rPr>
          <w:rFonts w:hint="eastAsia" w:ascii="仿宋" w:hAnsi="仿宋" w:eastAsia="仿宋" w:cs="仿宋"/>
          <w:i w:val="0"/>
          <w:iCs w:val="0"/>
          <w:caps w:val="0"/>
          <w:color w:val="auto"/>
          <w:spacing w:val="0"/>
          <w:sz w:val="28"/>
          <w:szCs w:val="28"/>
          <w:shd w:val="clear" w:fill="FFFFFF"/>
          <w:lang w:val="en-US" w:eastAsia="zh-CN"/>
        </w:rPr>
        <w:t>5</w:t>
      </w:r>
      <w:r>
        <w:rPr>
          <w:rFonts w:hint="eastAsia" w:ascii="仿宋" w:hAnsi="仿宋" w:eastAsia="仿宋" w:cs="仿宋"/>
          <w:i w:val="0"/>
          <w:iCs w:val="0"/>
          <w:caps w:val="0"/>
          <w:color w:val="auto"/>
          <w:spacing w:val="0"/>
          <w:sz w:val="28"/>
          <w:szCs w:val="28"/>
          <w:shd w:val="clear" w:fill="FFFFFF"/>
          <w:lang w:eastAsia="zh-CN"/>
        </w:rPr>
        <w:t>天内搬迁完毕；</w:t>
      </w:r>
      <w:r>
        <w:rPr>
          <w:rFonts w:hint="eastAsia" w:ascii="仿宋" w:hAnsi="仿宋" w:eastAsia="仿宋" w:cs="仿宋"/>
          <w:i w:val="0"/>
          <w:iCs w:val="0"/>
          <w:caps w:val="0"/>
          <w:color w:val="000000"/>
          <w:spacing w:val="0"/>
          <w:sz w:val="28"/>
          <w:szCs w:val="28"/>
          <w:shd w:val="clear" w:fill="FFFFFF"/>
          <w:lang w:eastAsia="zh-CN"/>
        </w:rPr>
        <w:t>已作补偿的建（构）筑物及附属物归政府所有，被征收人不得毁坏和自行拆除（房屋征收实施单位同意的除外），如被征收人自行拆除，因拆除房屋或拆除后留下的残墙断壁造成的安全责任事故，由被征收人负全责。</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0" w:firstLineChars="200"/>
        <w:jc w:val="left"/>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sz w:val="28"/>
          <w:szCs w:val="28"/>
          <w:shd w:val="clear" w:fill="FFFFFF"/>
          <w:lang w:val="en-US" w:eastAsia="zh-CN"/>
        </w:rPr>
        <w:t>（二）</w:t>
      </w:r>
      <w:r>
        <w:rPr>
          <w:rFonts w:hint="eastAsia" w:ascii="仿宋" w:hAnsi="仿宋" w:eastAsia="仿宋" w:cs="仿宋"/>
          <w:i w:val="0"/>
          <w:iCs w:val="0"/>
          <w:caps w:val="0"/>
          <w:color w:val="000000"/>
          <w:spacing w:val="0"/>
          <w:sz w:val="28"/>
          <w:szCs w:val="28"/>
          <w:shd w:val="clear" w:fill="FFFFFF"/>
          <w:lang w:eastAsia="zh-CN"/>
        </w:rPr>
        <w:t>其他补偿、补助费用</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firstLine="560" w:firstLineChars="200"/>
        <w:jc w:val="left"/>
        <w:textAlignment w:val="center"/>
        <w:outlineLvl w:val="2"/>
        <w:rPr>
          <w:rFonts w:hint="eastAsia" w:ascii="宋体" w:hAnsi="宋体" w:eastAsia="宋体" w:cs="宋体"/>
          <w:color w:val="333333"/>
          <w:kern w:val="0"/>
          <w:sz w:val="18"/>
          <w:szCs w:val="18"/>
        </w:rPr>
      </w:pPr>
      <w:bookmarkStart w:id="80" w:name="_Toc26230"/>
      <w:bookmarkEnd w:id="80"/>
      <w:bookmarkStart w:id="81" w:name="_Toc29055"/>
      <w:bookmarkEnd w:id="81"/>
      <w:bookmarkStart w:id="82" w:name="_Toc403757416"/>
      <w:bookmarkEnd w:id="82"/>
      <w:bookmarkStart w:id="83" w:name="_Toc1254"/>
      <w:bookmarkEnd w:id="83"/>
      <w:bookmarkStart w:id="84" w:name="_Toc21258"/>
      <w:bookmarkEnd w:id="84"/>
      <w:bookmarkStart w:id="85" w:name="_Toc482714427"/>
      <w:bookmarkEnd w:id="85"/>
      <w:bookmarkStart w:id="86" w:name="_Toc17966"/>
      <w:bookmarkEnd w:id="86"/>
      <w:bookmarkStart w:id="87" w:name="_Toc22228"/>
      <w:bookmarkEnd w:id="87"/>
      <w:bookmarkStart w:id="88" w:name="_Toc488153843"/>
      <w:bookmarkEnd w:id="88"/>
      <w:bookmarkStart w:id="89" w:name="_Toc26119"/>
      <w:bookmarkEnd w:id="89"/>
      <w:r>
        <w:rPr>
          <w:rFonts w:hint="eastAsia" w:ascii="仿宋" w:hAnsi="仿宋" w:eastAsia="仿宋" w:cs="宋体"/>
          <w:color w:val="333333"/>
          <w:kern w:val="0"/>
          <w:sz w:val="28"/>
          <w:szCs w:val="28"/>
          <w:shd w:val="clear" w:color="auto" w:fill="FFFFFF"/>
          <w:lang w:val="en-US" w:eastAsia="zh-CN"/>
        </w:rPr>
        <w:t>1.</w:t>
      </w:r>
      <w:r>
        <w:rPr>
          <w:rFonts w:hint="eastAsia" w:ascii="仿宋" w:hAnsi="仿宋" w:eastAsia="仿宋" w:cs="宋体"/>
          <w:color w:val="333333"/>
          <w:kern w:val="0"/>
          <w:sz w:val="28"/>
          <w:szCs w:val="28"/>
          <w:shd w:val="clear" w:color="auto" w:fill="FFFFFF"/>
        </w:rPr>
        <w:t>临时建（构）筑物及地上附着物</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rPr>
        <w:t>以不重复补偿为原则，地上构筑（附着）物已通过本方案的有关规定获得补偿的，不再补偿；未获补偿的，按照重置价评估给予货币补偿。</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outlineLvl w:val="2"/>
        <w:rPr>
          <w:rFonts w:hint="eastAsia" w:ascii="宋体" w:hAnsi="宋体" w:eastAsia="宋体" w:cs="宋体"/>
          <w:color w:val="333333"/>
          <w:kern w:val="0"/>
          <w:sz w:val="18"/>
          <w:szCs w:val="18"/>
        </w:rPr>
      </w:pPr>
      <w:r>
        <w:rPr>
          <w:rFonts w:hint="eastAsia" w:ascii="仿宋" w:hAnsi="仿宋" w:eastAsia="仿宋" w:cs="宋体"/>
          <w:color w:val="333333"/>
          <w:kern w:val="0"/>
          <w:sz w:val="28"/>
          <w:szCs w:val="28"/>
          <w:shd w:val="clear" w:color="auto" w:fill="FFFFFF"/>
          <w:lang w:val="en-US" w:eastAsia="zh-CN"/>
        </w:rPr>
        <w:t>2.</w:t>
      </w:r>
      <w:r>
        <w:rPr>
          <w:rFonts w:hint="eastAsia" w:ascii="仿宋" w:hAnsi="仿宋" w:eastAsia="仿宋" w:cs="宋体"/>
          <w:color w:val="333333"/>
          <w:kern w:val="0"/>
          <w:sz w:val="28"/>
          <w:szCs w:val="28"/>
          <w:shd w:val="clear" w:color="auto" w:fill="FFFFFF"/>
        </w:rPr>
        <w:t>室内自行装饰装修（二次装修）</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rPr>
        <w:t>被征收地上建筑物室内自行装修装饰费补偿，按照评估确定的重置成新价给予补偿。若装修档次不符按照评估公司现场评估为准。</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outlineLvl w:val="2"/>
        <w:rPr>
          <w:rFonts w:hint="eastAsia" w:ascii="宋体" w:hAnsi="宋体" w:eastAsia="宋体" w:cs="宋体"/>
          <w:color w:val="333333"/>
          <w:kern w:val="0"/>
          <w:sz w:val="18"/>
          <w:szCs w:val="18"/>
        </w:rPr>
      </w:pPr>
      <w:r>
        <w:rPr>
          <w:rFonts w:hint="eastAsia" w:ascii="仿宋" w:hAnsi="仿宋" w:eastAsia="仿宋" w:cs="宋体"/>
          <w:color w:val="333333"/>
          <w:kern w:val="0"/>
          <w:sz w:val="28"/>
          <w:szCs w:val="28"/>
          <w:shd w:val="clear" w:color="auto" w:fill="FFFFFF"/>
          <w:lang w:val="en-US" w:eastAsia="zh-CN"/>
        </w:rPr>
        <w:t>3.</w:t>
      </w:r>
      <w:r>
        <w:rPr>
          <w:rFonts w:hint="eastAsia" w:ascii="仿宋" w:hAnsi="仿宋" w:eastAsia="仿宋" w:cs="宋体"/>
          <w:color w:val="333333"/>
          <w:kern w:val="0"/>
          <w:sz w:val="28"/>
          <w:szCs w:val="28"/>
          <w:shd w:val="clear" w:color="auto" w:fill="FFFFFF"/>
        </w:rPr>
        <w:t>三线一管迁移费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rPr>
        <w:t>因地上建筑物征收造成的三线一管迁移每户补偿迁移费</w:t>
      </w:r>
      <w:r>
        <w:rPr>
          <w:rFonts w:hint="eastAsia" w:ascii="仿宋" w:hAnsi="仿宋" w:eastAsia="仿宋" w:cs="宋体"/>
          <w:color w:val="333333"/>
          <w:kern w:val="0"/>
          <w:sz w:val="28"/>
          <w:szCs w:val="28"/>
        </w:rPr>
        <w:t>1</w:t>
      </w:r>
      <w:r>
        <w:rPr>
          <w:rFonts w:hint="eastAsia" w:ascii="仿宋" w:hAnsi="仿宋" w:eastAsia="仿宋" w:cs="宋体"/>
          <w:color w:val="333333"/>
          <w:kern w:val="0"/>
          <w:sz w:val="28"/>
          <w:szCs w:val="28"/>
          <w:lang w:val="en-US" w:eastAsia="zh-CN"/>
        </w:rPr>
        <w:t>8</w:t>
      </w:r>
      <w:r>
        <w:rPr>
          <w:rFonts w:hint="eastAsia" w:ascii="仿宋" w:hAnsi="仿宋" w:eastAsia="仿宋" w:cs="宋体"/>
          <w:color w:val="333333"/>
          <w:kern w:val="0"/>
          <w:sz w:val="28"/>
          <w:szCs w:val="28"/>
        </w:rPr>
        <w:t>00元/户。</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outlineLvl w:val="2"/>
        <w:rPr>
          <w:rFonts w:hint="eastAsia" w:ascii="宋体" w:hAnsi="宋体" w:eastAsia="宋体" w:cs="宋体"/>
          <w:color w:val="333333"/>
          <w:kern w:val="0"/>
          <w:sz w:val="18"/>
          <w:szCs w:val="18"/>
        </w:rPr>
      </w:pPr>
      <w:r>
        <w:rPr>
          <w:rFonts w:hint="eastAsia" w:ascii="仿宋" w:hAnsi="仿宋" w:eastAsia="仿宋" w:cs="宋体"/>
          <w:color w:val="333333"/>
          <w:kern w:val="0"/>
          <w:sz w:val="28"/>
          <w:szCs w:val="28"/>
          <w:shd w:val="clear" w:color="auto" w:fill="FFFFFF"/>
          <w:lang w:val="en-US" w:eastAsia="zh-CN"/>
        </w:rPr>
        <w:t>4.</w:t>
      </w:r>
      <w:r>
        <w:rPr>
          <w:rFonts w:hint="eastAsia" w:ascii="仿宋" w:hAnsi="仿宋" w:eastAsia="仿宋" w:cs="宋体"/>
          <w:color w:val="333333"/>
          <w:kern w:val="0"/>
          <w:sz w:val="28"/>
          <w:szCs w:val="28"/>
          <w:shd w:val="clear" w:color="auto" w:fill="FFFFFF"/>
        </w:rPr>
        <w:t>搬迁费</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宋体" w:hAnsi="宋体" w:eastAsia="宋体" w:cs="宋体"/>
          <w:color w:val="333333"/>
          <w:kern w:val="0"/>
          <w:sz w:val="24"/>
          <w:szCs w:val="24"/>
        </w:rPr>
      </w:pPr>
      <w:r>
        <w:rPr>
          <w:rFonts w:hint="eastAsia" w:ascii="仿宋" w:hAnsi="仿宋" w:eastAsia="仿宋" w:cs="宋体"/>
          <w:color w:val="333333"/>
          <w:kern w:val="0"/>
          <w:sz w:val="28"/>
          <w:szCs w:val="28"/>
          <w:shd w:val="clear" w:color="auto" w:fill="FFFFFF"/>
        </w:rPr>
        <w:t>因征收地上建筑物造成搬迁的，一次性补偿搬迁费用，搬迁补助费按</w:t>
      </w:r>
      <w:r>
        <w:rPr>
          <w:rFonts w:hint="eastAsia" w:ascii="仿宋" w:hAnsi="仿宋" w:eastAsia="仿宋" w:cs="宋体"/>
          <w:color w:val="333333"/>
          <w:kern w:val="0"/>
          <w:sz w:val="28"/>
          <w:szCs w:val="28"/>
          <w:shd w:val="clear" w:color="auto" w:fill="FFFFFF"/>
          <w:lang w:val="en-US" w:eastAsia="zh-CN"/>
        </w:rPr>
        <w:t>2</w:t>
      </w:r>
      <w:r>
        <w:rPr>
          <w:rFonts w:hint="eastAsia" w:ascii="仿宋" w:hAnsi="仿宋" w:eastAsia="仿宋" w:cs="宋体"/>
          <w:color w:val="333333"/>
          <w:kern w:val="0"/>
          <w:sz w:val="28"/>
          <w:szCs w:val="28"/>
        </w:rPr>
        <w:t>500元/户补偿。</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0" w:leftChars="0" w:firstLine="560" w:firstLineChars="200"/>
        <w:jc w:val="left"/>
        <w:textAlignment w:val="center"/>
        <w:outlineLvl w:val="2"/>
        <w:rPr>
          <w:rFonts w:hint="eastAsia" w:ascii="宋体" w:hAnsi="宋体" w:eastAsia="仿宋" w:cs="宋体"/>
          <w:color w:val="333333"/>
          <w:kern w:val="0"/>
          <w:sz w:val="18"/>
          <w:szCs w:val="18"/>
          <w:lang w:val="en-US" w:eastAsia="zh-CN"/>
        </w:rPr>
      </w:pPr>
      <w:r>
        <w:rPr>
          <w:rFonts w:hint="eastAsia" w:ascii="仿宋" w:hAnsi="仿宋" w:eastAsia="仿宋" w:cs="宋体"/>
          <w:color w:val="333333"/>
          <w:kern w:val="0"/>
          <w:sz w:val="28"/>
          <w:szCs w:val="28"/>
          <w:shd w:val="clear" w:color="auto" w:fill="FFFFFF"/>
          <w:lang w:val="en-US" w:eastAsia="zh-CN"/>
        </w:rPr>
        <w:t>5.</w:t>
      </w:r>
      <w:r>
        <w:rPr>
          <w:rFonts w:hint="eastAsia" w:ascii="仿宋" w:hAnsi="仿宋" w:eastAsia="仿宋" w:cs="宋体"/>
          <w:color w:val="333333"/>
          <w:kern w:val="0"/>
          <w:sz w:val="28"/>
          <w:szCs w:val="28"/>
          <w:shd w:val="clear" w:color="auto" w:fill="FFFFFF"/>
        </w:rPr>
        <w:t>临时安置费</w:t>
      </w:r>
      <w:r>
        <w:rPr>
          <w:rFonts w:hint="eastAsia" w:ascii="仿宋" w:hAnsi="仿宋" w:eastAsia="仿宋" w:cs="宋体"/>
          <w:color w:val="333333"/>
          <w:kern w:val="0"/>
          <w:sz w:val="28"/>
          <w:szCs w:val="28"/>
          <w:shd w:val="clear" w:color="auto" w:fill="FFFFFF"/>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仿宋" w:hAnsi="仿宋" w:eastAsia="仿宋" w:cs="宋体"/>
          <w:color w:val="333333"/>
          <w:kern w:val="0"/>
          <w:sz w:val="28"/>
          <w:szCs w:val="28"/>
          <w:shd w:val="clear" w:color="auto" w:fill="FFFFFF"/>
        </w:rPr>
      </w:pPr>
      <w:r>
        <w:rPr>
          <w:rFonts w:hint="eastAsia" w:ascii="仿宋" w:hAnsi="仿宋" w:eastAsia="仿宋" w:cs="宋体"/>
          <w:color w:val="333333"/>
          <w:kern w:val="0"/>
          <w:sz w:val="28"/>
          <w:szCs w:val="28"/>
          <w:shd w:val="clear" w:color="auto" w:fill="FFFFFF"/>
        </w:rPr>
        <w:t>征收建筑物被认定为居住性质的临时过渡方式一律采取发放临时安置补偿费用，由被征收人自行解决过渡期居住问题，费用按</w:t>
      </w:r>
      <w:r>
        <w:rPr>
          <w:rFonts w:hint="eastAsia" w:ascii="仿宋" w:hAnsi="仿宋" w:eastAsia="仿宋" w:cs="宋体"/>
          <w:color w:val="333333"/>
          <w:kern w:val="0"/>
          <w:sz w:val="28"/>
          <w:szCs w:val="28"/>
          <w:lang w:val="en-US" w:eastAsia="zh-CN"/>
        </w:rPr>
        <w:t>8</w:t>
      </w:r>
      <w:r>
        <w:rPr>
          <w:rFonts w:hint="eastAsia" w:ascii="仿宋" w:hAnsi="仿宋" w:eastAsia="仿宋" w:cs="宋体"/>
          <w:color w:val="333333"/>
          <w:kern w:val="0"/>
          <w:sz w:val="28"/>
          <w:szCs w:val="28"/>
        </w:rPr>
        <w:t>00元/月/户</w:t>
      </w:r>
      <w:r>
        <w:rPr>
          <w:rFonts w:hint="eastAsia" w:ascii="仿宋" w:hAnsi="仿宋" w:eastAsia="仿宋" w:cs="宋体"/>
          <w:color w:val="333333"/>
          <w:kern w:val="0"/>
          <w:sz w:val="28"/>
          <w:szCs w:val="28"/>
          <w:shd w:val="clear" w:color="auto" w:fill="FFFFFF"/>
        </w:rPr>
        <w:t>计算</w:t>
      </w:r>
      <w:r>
        <w:rPr>
          <w:rFonts w:hint="eastAsia" w:ascii="仿宋" w:hAnsi="仿宋" w:eastAsia="仿宋" w:cs="宋体"/>
          <w:color w:val="333333"/>
          <w:kern w:val="0"/>
          <w:sz w:val="28"/>
          <w:szCs w:val="28"/>
          <w:shd w:val="clear" w:color="auto" w:fill="FFFFFF"/>
          <w:lang w:eastAsia="zh-CN"/>
        </w:rPr>
        <w:t>，</w:t>
      </w:r>
      <w:r>
        <w:rPr>
          <w:rFonts w:hint="eastAsia" w:ascii="仿宋" w:hAnsi="仿宋" w:eastAsia="仿宋" w:cs="宋体"/>
          <w:color w:val="333333"/>
          <w:kern w:val="0"/>
          <w:sz w:val="28"/>
          <w:szCs w:val="28"/>
          <w:shd w:val="clear" w:color="auto" w:fill="FFFFFF"/>
        </w:rPr>
        <w:t>按</w:t>
      </w:r>
      <w:r>
        <w:rPr>
          <w:rFonts w:hint="eastAsia" w:ascii="仿宋" w:hAnsi="仿宋" w:eastAsia="仿宋" w:cs="宋体"/>
          <w:color w:val="333333"/>
          <w:kern w:val="0"/>
          <w:sz w:val="28"/>
          <w:szCs w:val="28"/>
          <w:shd w:val="clear" w:color="auto" w:fill="FFFFFF"/>
          <w:lang w:val="en-US" w:eastAsia="zh-CN"/>
        </w:rPr>
        <w:t>24个月计划</w:t>
      </w:r>
      <w:r>
        <w:rPr>
          <w:rFonts w:hint="eastAsia" w:ascii="仿宋" w:hAnsi="仿宋" w:eastAsia="仿宋" w:cs="宋体"/>
          <w:color w:val="333333"/>
          <w:kern w:val="0"/>
          <w:sz w:val="28"/>
          <w:szCs w:val="28"/>
          <w:shd w:val="clear" w:color="auto" w:fill="FFFFFF"/>
        </w:rPr>
        <w:t>过</w:t>
      </w:r>
      <w:r>
        <w:rPr>
          <w:rFonts w:hint="eastAsia" w:ascii="仿宋" w:hAnsi="仿宋" w:eastAsia="仿宋" w:cs="宋体"/>
          <w:color w:val="333333"/>
          <w:kern w:val="0"/>
          <w:sz w:val="28"/>
          <w:szCs w:val="28"/>
          <w:shd w:val="clear" w:color="auto" w:fill="FFFFFF"/>
          <w:lang w:val="en-US" w:eastAsia="zh-CN"/>
        </w:rPr>
        <w:t>渡</w:t>
      </w:r>
      <w:r>
        <w:rPr>
          <w:rFonts w:hint="eastAsia" w:ascii="仿宋" w:hAnsi="仿宋" w:eastAsia="仿宋" w:cs="宋体"/>
          <w:color w:val="333333"/>
          <w:kern w:val="0"/>
          <w:sz w:val="28"/>
          <w:szCs w:val="28"/>
          <w:shd w:val="clear" w:color="auto" w:fill="FFFFFF"/>
        </w:rPr>
        <w:t>时限算，一次性支付。</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仿宋" w:hAnsi="仿宋" w:eastAsia="仿宋" w:cs="宋体"/>
          <w:color w:val="333333"/>
          <w:kern w:val="0"/>
          <w:sz w:val="28"/>
          <w:szCs w:val="28"/>
          <w:shd w:val="clear" w:color="auto" w:fill="FFFFFF"/>
        </w:rPr>
      </w:pPr>
      <w:r>
        <w:rPr>
          <w:rFonts w:hint="eastAsia" w:ascii="仿宋" w:hAnsi="仿宋" w:eastAsia="仿宋" w:cs="宋体"/>
          <w:color w:val="333333"/>
          <w:kern w:val="0"/>
          <w:sz w:val="28"/>
          <w:szCs w:val="28"/>
          <w:shd w:val="clear" w:color="auto" w:fill="FFFFFF"/>
        </w:rPr>
        <w:t>6、停产停业损失</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仿宋" w:hAnsi="仿宋" w:eastAsia="仿宋" w:cs="宋体"/>
          <w:color w:val="333333"/>
          <w:kern w:val="0"/>
          <w:sz w:val="28"/>
          <w:szCs w:val="28"/>
          <w:shd w:val="clear" w:color="auto" w:fill="FFFFFF"/>
        </w:rPr>
      </w:pPr>
      <w:r>
        <w:rPr>
          <w:rFonts w:hint="eastAsia" w:ascii="仿宋" w:hAnsi="仿宋" w:eastAsia="仿宋" w:cs="宋体"/>
          <w:color w:val="333333"/>
          <w:kern w:val="0"/>
          <w:sz w:val="28"/>
          <w:szCs w:val="28"/>
          <w:shd w:val="clear" w:color="auto" w:fill="FFFFFF"/>
        </w:rPr>
        <w:t>征收经营性物业按建筑物内营业面积根据市场评估租金进行停产停业损失货币补偿，具体标准如下：东风西路临街商铺租金补偿标准按</w:t>
      </w:r>
      <w:r>
        <w:rPr>
          <w:rFonts w:hint="eastAsia" w:ascii="仿宋" w:hAnsi="仿宋" w:eastAsia="仿宋" w:cs="宋体"/>
          <w:color w:val="333333"/>
          <w:kern w:val="0"/>
          <w:sz w:val="28"/>
          <w:szCs w:val="28"/>
          <w:shd w:val="clear" w:color="auto" w:fill="FFFFFF"/>
          <w:lang w:val="en-US" w:eastAsia="zh-CN"/>
        </w:rPr>
        <w:t>50</w:t>
      </w:r>
      <w:r>
        <w:rPr>
          <w:rFonts w:hint="eastAsia" w:ascii="仿宋" w:hAnsi="仿宋" w:eastAsia="仿宋" w:cs="宋体"/>
          <w:color w:val="333333"/>
          <w:kern w:val="0"/>
          <w:sz w:val="28"/>
          <w:szCs w:val="28"/>
          <w:shd w:val="clear" w:color="auto" w:fill="FFFFFF"/>
        </w:rPr>
        <w:t>元/平方米/月。</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仿宋" w:hAnsi="仿宋" w:eastAsia="仿宋" w:cs="宋体"/>
          <w:color w:val="333333"/>
          <w:kern w:val="0"/>
          <w:sz w:val="28"/>
          <w:szCs w:val="28"/>
          <w:shd w:val="clear" w:color="auto" w:fill="FFFFFF"/>
        </w:rPr>
      </w:pPr>
      <w:r>
        <w:rPr>
          <w:rFonts w:hint="eastAsia" w:ascii="仿宋" w:hAnsi="仿宋" w:eastAsia="仿宋" w:cs="宋体"/>
          <w:color w:val="333333"/>
          <w:kern w:val="0"/>
          <w:sz w:val="28"/>
          <w:szCs w:val="28"/>
          <w:shd w:val="clear" w:color="auto" w:fill="FFFFFF"/>
        </w:rPr>
        <w:t>被征收人选择货币补偿的，按6个月过渡时限计算，一次性支付；被征收人选择产权置换房屋安置的，过渡期限按24个月计划，一次性支付。过渡期限是指从被征收办理搬迁房屋钥匙移交手续之日起。</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firstLine="560" w:firstLineChars="200"/>
        <w:jc w:val="left"/>
        <w:rPr>
          <w:rFonts w:hint="eastAsia" w:ascii="仿宋" w:hAnsi="仿宋" w:eastAsia="仿宋" w:cs="宋体"/>
          <w:color w:val="333333"/>
          <w:kern w:val="0"/>
          <w:sz w:val="28"/>
          <w:szCs w:val="28"/>
          <w:shd w:val="clear" w:color="auto" w:fill="FFFFFF"/>
        </w:rPr>
        <w:sectPr>
          <w:pgSz w:w="11906" w:h="16838"/>
          <w:pgMar w:top="1440" w:right="1800" w:bottom="1440" w:left="1800" w:header="851" w:footer="992" w:gutter="0"/>
          <w:cols w:space="425" w:num="1"/>
          <w:docGrid w:type="lines" w:linePitch="312" w:charSpace="0"/>
        </w:sectPr>
      </w:pPr>
    </w:p>
    <w:p>
      <w:pPr>
        <w:widowControl/>
        <w:shd w:val="clear" w:color="auto" w:fill="FFFFFF"/>
        <w:spacing w:line="360" w:lineRule="atLeast"/>
        <w:jc w:val="left"/>
        <w:rPr>
          <w:rFonts w:hint="eastAsia" w:ascii="宋体" w:hAnsi="宋体" w:eastAsia="宋体" w:cs="宋体"/>
          <w:color w:val="333333"/>
          <w:kern w:val="0"/>
          <w:sz w:val="32"/>
          <w:szCs w:val="32"/>
        </w:rPr>
      </w:pPr>
      <w:r>
        <w:rPr>
          <w:rFonts w:hint="eastAsia" w:ascii="仿宋" w:hAnsi="仿宋" w:eastAsia="仿宋" w:cs="宋体"/>
          <w:b/>
          <w:bCs/>
          <w:color w:val="333333"/>
          <w:kern w:val="0"/>
          <w:sz w:val="32"/>
          <w:szCs w:val="32"/>
        </w:rPr>
        <w:t>附件</w:t>
      </w:r>
    </w:p>
    <w:p>
      <w:pPr>
        <w:widowControl/>
        <w:shd w:val="clear" w:color="auto" w:fill="FFFFFF"/>
        <w:spacing w:line="360" w:lineRule="atLeast"/>
        <w:jc w:val="center"/>
        <w:rPr>
          <w:rFonts w:hint="eastAsia" w:ascii="仿宋_GB2312" w:hAnsi="宋体" w:eastAsia="仿宋_GB2312" w:cs="宋体"/>
          <w:b/>
          <w:bCs/>
          <w:color w:val="333333"/>
          <w:kern w:val="0"/>
          <w:sz w:val="44"/>
        </w:rPr>
      </w:pPr>
      <w:r>
        <w:rPr>
          <w:rFonts w:hint="eastAsia" w:ascii="仿宋_GB2312" w:hAnsi="宋体" w:eastAsia="仿宋_GB2312" w:cs="宋体"/>
          <w:b/>
          <w:bCs/>
          <w:color w:val="333333"/>
          <w:kern w:val="0"/>
          <w:sz w:val="44"/>
        </w:rPr>
        <w:t>龙川县东风西路（兴泰花园段）道路改造项目房屋征收与补偿方案(征求意见稿)</w:t>
      </w:r>
    </w:p>
    <w:p>
      <w:pPr>
        <w:numPr>
          <w:ilvl w:val="0"/>
          <w:numId w:val="1"/>
        </w:numPr>
        <w:autoSpaceDE w:val="0"/>
        <w:autoSpaceDN w:val="0"/>
        <w:adjustRightInd w:val="0"/>
        <w:spacing w:after="156" w:line="360" w:lineRule="auto"/>
        <w:jc w:val="left"/>
        <w:rPr>
          <w:rFonts w:ascii="宋体" w:hAnsi="宋体" w:cs="宋体"/>
          <w:b/>
          <w:sz w:val="28"/>
          <w:szCs w:val="28"/>
          <w:lang w:val="zh-CN"/>
        </w:rPr>
      </w:pPr>
      <w:r>
        <w:rPr>
          <w:rFonts w:hint="eastAsia" w:ascii="宋体" w:hAnsi="宋体" w:cs="黑体"/>
          <w:b/>
          <w:sz w:val="28"/>
          <w:szCs w:val="28"/>
          <w:lang w:eastAsia="zh-CN"/>
        </w:rPr>
        <w:t>货币</w:t>
      </w:r>
      <w:r>
        <w:rPr>
          <w:rFonts w:hint="eastAsia" w:ascii="宋体" w:hAnsi="宋体" w:cs="黑体"/>
          <w:b/>
          <w:sz w:val="28"/>
          <w:szCs w:val="28"/>
        </w:rPr>
        <w:t>补偿标准</w:t>
      </w:r>
    </w:p>
    <w:p>
      <w:pPr>
        <w:widowControl/>
        <w:shd w:val="clear" w:color="auto" w:fill="FFFFFF"/>
        <w:spacing w:line="360" w:lineRule="atLeast"/>
        <w:jc w:val="left"/>
        <w:rPr>
          <w:rFonts w:hint="eastAsia" w:ascii="仿宋" w:hAnsi="仿宋" w:eastAsia="仿宋" w:cs="宋体"/>
          <w:color w:val="333333"/>
          <w:kern w:val="0"/>
          <w:sz w:val="28"/>
          <w:szCs w:val="28"/>
          <w:shd w:val="clear" w:color="auto" w:fill="FFFFFF"/>
          <w:lang w:val="zh-CN"/>
        </w:rPr>
      </w:pPr>
      <w:r>
        <w:rPr>
          <w:rFonts w:hint="eastAsia" w:ascii="仿宋" w:hAnsi="仿宋" w:eastAsia="仿宋" w:cs="宋体"/>
          <w:color w:val="333333"/>
          <w:kern w:val="0"/>
          <w:sz w:val="28"/>
          <w:szCs w:val="28"/>
          <w:shd w:val="clear" w:color="auto" w:fill="FFFFFF"/>
          <w:lang w:val="en-US" w:eastAsia="zh-CN"/>
        </w:rPr>
        <w:t>1.</w:t>
      </w:r>
      <w:r>
        <w:rPr>
          <w:rFonts w:hint="eastAsia" w:ascii="仿宋" w:hAnsi="仿宋" w:eastAsia="仿宋" w:cs="宋体"/>
          <w:b/>
          <w:bCs/>
          <w:color w:val="333333"/>
          <w:kern w:val="0"/>
          <w:sz w:val="24"/>
          <w:szCs w:val="24"/>
          <w:shd w:val="clear" w:color="auto" w:fill="FFFFFF"/>
          <w:lang w:val="en-US" w:eastAsia="zh-CN"/>
        </w:rPr>
        <w:t>土</w:t>
      </w:r>
      <w:r>
        <w:rPr>
          <w:rFonts w:hint="eastAsia" w:ascii="仿宋" w:hAnsi="仿宋" w:eastAsia="仿宋" w:cs="宋体"/>
          <w:b/>
          <w:bCs/>
          <w:color w:val="333333"/>
          <w:kern w:val="0"/>
          <w:sz w:val="24"/>
          <w:szCs w:val="24"/>
          <w:shd w:val="clear" w:color="auto" w:fill="FFFFFF"/>
        </w:rPr>
        <w:t>地补偿标准</w:t>
      </w:r>
    </w:p>
    <w:tbl>
      <w:tblPr>
        <w:tblStyle w:val="8"/>
        <w:tblW w:w="9459" w:type="dxa"/>
        <w:jc w:val="center"/>
        <w:tblLayout w:type="fixed"/>
        <w:tblCellMar>
          <w:top w:w="0" w:type="dxa"/>
          <w:left w:w="108" w:type="dxa"/>
          <w:bottom w:w="0" w:type="dxa"/>
          <w:right w:w="108" w:type="dxa"/>
        </w:tblCellMar>
      </w:tblPr>
      <w:tblGrid>
        <w:gridCol w:w="707"/>
        <w:gridCol w:w="2080"/>
        <w:gridCol w:w="998"/>
        <w:gridCol w:w="1290"/>
        <w:gridCol w:w="4384"/>
      </w:tblGrid>
      <w:tr>
        <w:tblPrEx>
          <w:tblCellMar>
            <w:top w:w="0" w:type="dxa"/>
            <w:left w:w="108" w:type="dxa"/>
            <w:bottom w:w="0" w:type="dxa"/>
            <w:right w:w="108" w:type="dxa"/>
          </w:tblCellMar>
        </w:tblPrEx>
        <w:trPr>
          <w:trHeight w:val="725" w:hRule="atLeast"/>
          <w:jc w:val="center"/>
        </w:trPr>
        <w:tc>
          <w:tcPr>
            <w:tcW w:w="70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序号</w:t>
            </w:r>
          </w:p>
        </w:tc>
        <w:tc>
          <w:tcPr>
            <w:tcW w:w="208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项目名称</w:t>
            </w:r>
          </w:p>
        </w:tc>
        <w:tc>
          <w:tcPr>
            <w:tcW w:w="998"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单位</w:t>
            </w:r>
          </w:p>
        </w:tc>
        <w:tc>
          <w:tcPr>
            <w:tcW w:w="12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单价（元）</w:t>
            </w:r>
          </w:p>
        </w:tc>
        <w:tc>
          <w:tcPr>
            <w:tcW w:w="4384"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备注</w:t>
            </w:r>
          </w:p>
        </w:tc>
      </w:tr>
      <w:tr>
        <w:tblPrEx>
          <w:tblCellMar>
            <w:top w:w="0" w:type="dxa"/>
            <w:left w:w="108" w:type="dxa"/>
            <w:bottom w:w="0" w:type="dxa"/>
            <w:right w:w="108" w:type="dxa"/>
          </w:tblCellMar>
        </w:tblPrEx>
        <w:trPr>
          <w:trHeight w:val="1231" w:hRule="atLeast"/>
          <w:jc w:val="center"/>
        </w:trPr>
        <w:tc>
          <w:tcPr>
            <w:tcW w:w="707"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2080"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color w:val="000000"/>
                <w:kern w:val="0"/>
                <w:sz w:val="24"/>
                <w:szCs w:val="24"/>
              </w:rPr>
            </w:pPr>
            <w:r>
              <w:rPr>
                <w:rFonts w:hint="eastAsia" w:ascii="仿宋" w:hAnsi="仿宋" w:eastAsia="仿宋" w:cs="仿宋"/>
                <w:color w:val="auto"/>
                <w:kern w:val="0"/>
                <w:sz w:val="24"/>
                <w:szCs w:val="24"/>
                <w:lang w:val="en-US" w:eastAsia="zh-CN"/>
              </w:rPr>
              <w:t>房屋</w:t>
            </w:r>
            <w:r>
              <w:rPr>
                <w:rFonts w:hint="eastAsia" w:ascii="仿宋" w:hAnsi="仿宋" w:eastAsia="仿宋" w:cs="仿宋"/>
                <w:color w:val="000000"/>
                <w:kern w:val="0"/>
                <w:sz w:val="24"/>
                <w:szCs w:val="24"/>
              </w:rPr>
              <w:t>用地</w:t>
            </w:r>
          </w:p>
        </w:tc>
        <w:tc>
          <w:tcPr>
            <w:tcW w:w="998"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color w:val="000000"/>
                <w:kern w:val="0"/>
                <w:sz w:val="24"/>
                <w:szCs w:val="24"/>
              </w:rPr>
            </w:pPr>
            <w:r>
              <w:rPr>
                <w:rFonts w:hint="eastAsia" w:ascii="仿宋" w:hAnsi="仿宋" w:eastAsia="仿宋" w:cs="仿宋"/>
                <w:kern w:val="0"/>
                <w:sz w:val="24"/>
                <w:szCs w:val="24"/>
                <w:lang w:val="zh-CN"/>
              </w:rPr>
              <w:t>㎡</w:t>
            </w:r>
          </w:p>
        </w:tc>
        <w:tc>
          <w:tcPr>
            <w:tcW w:w="1290"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10</w:t>
            </w:r>
            <w:r>
              <w:rPr>
                <w:rFonts w:hint="eastAsia" w:ascii="仿宋" w:hAnsi="仿宋" w:eastAsia="仿宋" w:cs="仿宋"/>
                <w:color w:val="000000"/>
                <w:kern w:val="0"/>
                <w:sz w:val="24"/>
                <w:szCs w:val="24"/>
              </w:rPr>
              <w:t>000</w:t>
            </w:r>
          </w:p>
        </w:tc>
        <w:tc>
          <w:tcPr>
            <w:tcW w:w="4384" w:type="dxa"/>
            <w:tcBorders>
              <w:top w:val="nil"/>
              <w:left w:val="nil"/>
              <w:bottom w:val="single" w:color="auto" w:sz="4" w:space="0"/>
              <w:right w:val="single" w:color="auto" w:sz="4" w:space="0"/>
            </w:tcBorders>
            <w:vAlign w:val="center"/>
          </w:tcPr>
          <w:p>
            <w:pPr>
              <w:widowControl/>
              <w:spacing w:line="240" w:lineRule="auto"/>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认定为商住房屋</w:t>
            </w:r>
            <w:bookmarkStart w:id="90" w:name="_GoBack"/>
            <w:bookmarkEnd w:id="90"/>
            <w:r>
              <w:rPr>
                <w:rFonts w:hint="eastAsia" w:ascii="仿宋" w:hAnsi="仿宋" w:eastAsia="仿宋" w:cs="仿宋"/>
                <w:color w:val="auto"/>
                <w:kern w:val="0"/>
                <w:sz w:val="24"/>
                <w:szCs w:val="24"/>
                <w:lang w:val="en-US" w:eastAsia="zh-CN"/>
              </w:rPr>
              <w:t>的建筑物所占土地，地块土地面积为≤200</w:t>
            </w:r>
            <w:r>
              <w:rPr>
                <w:rFonts w:hint="eastAsia" w:ascii="仿宋" w:hAnsi="仿宋" w:eastAsia="仿宋" w:cs="仿宋"/>
                <w:color w:val="auto"/>
                <w:kern w:val="0"/>
                <w:sz w:val="24"/>
                <w:szCs w:val="24"/>
                <w:lang w:val="zh-CN"/>
              </w:rPr>
              <w:t>㎡</w:t>
            </w:r>
            <w:r>
              <w:rPr>
                <w:rFonts w:hint="eastAsia" w:ascii="仿宋" w:hAnsi="仿宋" w:eastAsia="仿宋" w:cs="仿宋"/>
                <w:color w:val="auto"/>
                <w:kern w:val="0"/>
                <w:sz w:val="24"/>
                <w:szCs w:val="24"/>
                <w:lang w:val="en-US" w:eastAsia="zh-CN"/>
              </w:rPr>
              <w:t>，且位于龙川县下泡水东风西路兴泰花园段</w:t>
            </w:r>
          </w:p>
        </w:tc>
      </w:tr>
      <w:tr>
        <w:tblPrEx>
          <w:tblCellMar>
            <w:top w:w="0" w:type="dxa"/>
            <w:left w:w="108" w:type="dxa"/>
            <w:bottom w:w="0" w:type="dxa"/>
            <w:right w:w="108" w:type="dxa"/>
          </w:tblCellMar>
        </w:tblPrEx>
        <w:trPr>
          <w:trHeight w:val="1867" w:hRule="atLeast"/>
          <w:jc w:val="center"/>
        </w:trPr>
        <w:tc>
          <w:tcPr>
            <w:tcW w:w="70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2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空地（余坪）</w:t>
            </w:r>
          </w:p>
        </w:tc>
        <w:tc>
          <w:tcPr>
            <w:tcW w:w="99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kern w:val="0"/>
                <w:sz w:val="24"/>
                <w:szCs w:val="24"/>
                <w:lang w:val="zh-CN"/>
              </w:rPr>
            </w:pPr>
            <w:r>
              <w:rPr>
                <w:rFonts w:hint="eastAsia" w:ascii="仿宋" w:hAnsi="仿宋" w:eastAsia="仿宋" w:cs="仿宋"/>
                <w:kern w:val="0"/>
                <w:sz w:val="24"/>
                <w:szCs w:val="24"/>
                <w:lang w:val="zh-CN"/>
              </w:rPr>
              <w:t>㎡</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1300</w:t>
            </w:r>
          </w:p>
          <w:p>
            <w:pPr>
              <w:widowControl/>
              <w:spacing w:line="360" w:lineRule="auto"/>
              <w:jc w:val="center"/>
              <w:rPr>
                <w:rFonts w:hint="eastAsia" w:ascii="仿宋" w:hAnsi="仿宋" w:eastAsia="仿宋" w:cs="仿宋"/>
                <w:color w:val="000000"/>
                <w:kern w:val="0"/>
                <w:sz w:val="24"/>
                <w:szCs w:val="24"/>
                <w:lang w:val="en-US" w:eastAsia="zh-CN"/>
              </w:rPr>
            </w:pPr>
          </w:p>
        </w:tc>
        <w:tc>
          <w:tcPr>
            <w:tcW w:w="4384"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与认定为商住房屋的建筑物相接且有围墙围护，或有相关产权证明资料，参照</w:t>
            </w:r>
            <w:r>
              <w:rPr>
                <w:rFonts w:hint="eastAsia" w:ascii="仿宋" w:hAnsi="仿宋" w:eastAsia="仿宋" w:cs="仿宋"/>
                <w:color w:val="auto"/>
                <w:kern w:val="0"/>
                <w:sz w:val="24"/>
                <w:szCs w:val="24"/>
              </w:rPr>
              <w:t>《龙川县2021年度城镇土地定级与基准地价》</w:t>
            </w:r>
            <w:r>
              <w:rPr>
                <w:rFonts w:hint="eastAsia" w:ascii="仿宋" w:hAnsi="仿宋" w:eastAsia="仿宋" w:cs="仿宋"/>
                <w:color w:val="auto"/>
                <w:kern w:val="0"/>
                <w:sz w:val="24"/>
                <w:szCs w:val="24"/>
                <w:lang w:val="en-US" w:eastAsia="zh-CN"/>
              </w:rPr>
              <w:t>中的基准地价，按用途为商住用地，容积率为2.0计算。</w:t>
            </w:r>
          </w:p>
        </w:tc>
      </w:tr>
      <w:tr>
        <w:tblPrEx>
          <w:tblCellMar>
            <w:top w:w="0" w:type="dxa"/>
            <w:left w:w="108" w:type="dxa"/>
            <w:bottom w:w="0" w:type="dxa"/>
            <w:right w:w="108" w:type="dxa"/>
          </w:tblCellMar>
        </w:tblPrEx>
        <w:trPr>
          <w:trHeight w:val="1867" w:hRule="atLeast"/>
          <w:jc w:val="center"/>
        </w:trPr>
        <w:tc>
          <w:tcPr>
            <w:tcW w:w="70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2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lang w:val="en-US" w:eastAsia="zh-CN" w:bidi="ar-SA"/>
              </w:rPr>
            </w:pPr>
            <w:r>
              <w:rPr>
                <w:rFonts w:hint="eastAsia" w:ascii="仿宋" w:hAnsi="仿宋" w:eastAsia="仿宋" w:cs="仿宋"/>
                <w:b w:val="0"/>
                <w:bCs w:val="0"/>
                <w:color w:val="000000"/>
                <w:kern w:val="0"/>
                <w:sz w:val="24"/>
                <w:szCs w:val="24"/>
                <w:lang w:val="en-US" w:eastAsia="zh-CN"/>
              </w:rPr>
              <w:t>商住拆迁占地安置</w:t>
            </w:r>
          </w:p>
        </w:tc>
        <w:tc>
          <w:tcPr>
            <w:tcW w:w="99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lang w:val="zh-CN" w:eastAsia="zh-CN" w:bidi="ar-SA"/>
              </w:rPr>
            </w:pPr>
            <w:r>
              <w:rPr>
                <w:rFonts w:hint="eastAsia" w:ascii="仿宋" w:hAnsi="仿宋" w:eastAsia="仿宋" w:cs="仿宋"/>
                <w:b w:val="0"/>
                <w:bCs w:val="0"/>
                <w:color w:val="000000"/>
                <w:kern w:val="0"/>
                <w:sz w:val="24"/>
                <w:szCs w:val="24"/>
                <w:lang w:val="zh-CN"/>
              </w:rPr>
              <w:t>㎡</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lang w:val="en-US" w:eastAsia="zh-CN" w:bidi="ar-SA"/>
              </w:rPr>
            </w:pPr>
            <w:r>
              <w:rPr>
                <w:rFonts w:hint="eastAsia" w:ascii="仿宋" w:hAnsi="仿宋" w:eastAsia="仿宋" w:cs="仿宋"/>
                <w:b w:val="0"/>
                <w:bCs w:val="0"/>
                <w:color w:val="000000"/>
                <w:kern w:val="0"/>
                <w:sz w:val="24"/>
                <w:szCs w:val="24"/>
                <w:lang w:val="en-US" w:eastAsia="zh-CN"/>
              </w:rPr>
              <w:t>-</w:t>
            </w:r>
          </w:p>
        </w:tc>
        <w:tc>
          <w:tcPr>
            <w:tcW w:w="438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lang w:val="en-US" w:eastAsia="zh-CN" w:bidi="ar-SA"/>
              </w:rPr>
            </w:pPr>
            <w:r>
              <w:rPr>
                <w:rFonts w:hint="eastAsia" w:ascii="仿宋" w:hAnsi="仿宋" w:eastAsia="仿宋" w:cs="仿宋"/>
                <w:b w:val="0"/>
                <w:bCs w:val="0"/>
                <w:color w:val="000000"/>
                <w:kern w:val="0"/>
                <w:sz w:val="24"/>
                <w:szCs w:val="24"/>
                <w:lang w:val="en-US" w:eastAsia="zh-CN"/>
              </w:rPr>
              <w:t>按房屋滴水占地面积计具体由所在镇人民政府负责落实安置</w:t>
            </w:r>
          </w:p>
        </w:tc>
      </w:tr>
    </w:tbl>
    <w:p>
      <w:pPr>
        <w:autoSpaceDE w:val="0"/>
        <w:autoSpaceDN w:val="0"/>
        <w:adjustRightInd w:val="0"/>
        <w:spacing w:after="156" w:line="360" w:lineRule="exact"/>
        <w:rPr>
          <w:rFonts w:hint="eastAsia" w:ascii="仿宋" w:hAnsi="仿宋" w:eastAsia="仿宋" w:cs="仿宋"/>
          <w:snapToGrid w:val="0"/>
          <w:kern w:val="0"/>
          <w:sz w:val="24"/>
          <w:szCs w:val="24"/>
        </w:rPr>
      </w:pPr>
      <w:r>
        <w:rPr>
          <w:rFonts w:hint="eastAsia" w:ascii="仿宋" w:hAnsi="仿宋" w:eastAsia="仿宋" w:cs="仿宋"/>
          <w:bCs/>
          <w:sz w:val="24"/>
          <w:szCs w:val="24"/>
        </w:rPr>
        <w:t>备注：</w:t>
      </w:r>
      <w:r>
        <w:rPr>
          <w:rFonts w:hint="eastAsia" w:ascii="仿宋" w:hAnsi="仿宋" w:eastAsia="仿宋" w:cs="仿宋"/>
          <w:snapToGrid w:val="0"/>
          <w:kern w:val="0"/>
          <w:sz w:val="24"/>
          <w:szCs w:val="24"/>
        </w:rPr>
        <w:t>上述单价是指假设</w:t>
      </w:r>
      <w:r>
        <w:rPr>
          <w:rFonts w:hint="eastAsia" w:ascii="仿宋" w:hAnsi="仿宋" w:eastAsia="仿宋" w:cs="仿宋"/>
          <w:snapToGrid w:val="0"/>
          <w:kern w:val="0"/>
          <w:sz w:val="24"/>
          <w:szCs w:val="24"/>
          <w:lang w:val="en-US" w:eastAsia="zh-CN"/>
        </w:rPr>
        <w:t>被征收建设用地为</w:t>
      </w:r>
      <w:r>
        <w:rPr>
          <w:rFonts w:hint="eastAsia" w:ascii="仿宋" w:hAnsi="仿宋" w:eastAsia="仿宋" w:cs="仿宋"/>
          <w:snapToGrid w:val="0"/>
          <w:kern w:val="0"/>
          <w:sz w:val="24"/>
          <w:szCs w:val="24"/>
        </w:rPr>
        <w:t>在完全产权条件下</w:t>
      </w:r>
      <w:r>
        <w:rPr>
          <w:rFonts w:hint="eastAsia" w:ascii="仿宋" w:hAnsi="仿宋" w:eastAsia="仿宋" w:cs="仿宋"/>
          <w:snapToGrid w:val="0"/>
          <w:kern w:val="0"/>
          <w:sz w:val="24"/>
          <w:szCs w:val="24"/>
          <w:lang w:val="en-US" w:eastAsia="zh-CN"/>
        </w:rPr>
        <w:t>的</w:t>
      </w:r>
      <w:r>
        <w:rPr>
          <w:rFonts w:hint="eastAsia" w:ascii="仿宋" w:hAnsi="仿宋" w:eastAsia="仿宋" w:cs="仿宋"/>
          <w:snapToGrid w:val="0"/>
          <w:kern w:val="0"/>
          <w:sz w:val="24"/>
          <w:szCs w:val="24"/>
        </w:rPr>
        <w:t>国有出让性质土地价值，已包含了相应用途国有土地使用权出让金，若原产权人尚有任何有关</w:t>
      </w:r>
      <w:r>
        <w:rPr>
          <w:rFonts w:hint="eastAsia" w:ascii="仿宋" w:hAnsi="仿宋" w:eastAsia="仿宋" w:cs="仿宋"/>
          <w:snapToGrid w:val="0"/>
          <w:kern w:val="0"/>
          <w:sz w:val="24"/>
          <w:szCs w:val="24"/>
          <w:lang w:val="en-US" w:eastAsia="zh-CN"/>
        </w:rPr>
        <w:t>被征收建设用地</w:t>
      </w:r>
      <w:r>
        <w:rPr>
          <w:rFonts w:hint="eastAsia" w:ascii="仿宋" w:hAnsi="仿宋" w:eastAsia="仿宋" w:cs="仿宋"/>
          <w:snapToGrid w:val="0"/>
          <w:kern w:val="0"/>
          <w:sz w:val="24"/>
          <w:szCs w:val="24"/>
        </w:rPr>
        <w:t>的应缴未缴税费，应按规定缴纳或从估价结果中相应扣减。</w:t>
      </w:r>
    </w:p>
    <w:p>
      <w:pPr>
        <w:numPr>
          <w:ilvl w:val="0"/>
          <w:numId w:val="0"/>
        </w:numPr>
        <w:autoSpaceDE w:val="0"/>
        <w:autoSpaceDN w:val="0"/>
        <w:adjustRightInd w:val="0"/>
        <w:spacing w:after="156" w:line="360" w:lineRule="auto"/>
        <w:ind w:leftChars="0"/>
        <w:jc w:val="left"/>
        <w:rPr>
          <w:rFonts w:hint="eastAsia" w:ascii="仿宋" w:hAnsi="仿宋" w:eastAsia="仿宋" w:cs="仿宋"/>
          <w:b/>
          <w:sz w:val="24"/>
          <w:szCs w:val="24"/>
          <w:lang w:val="zh-CN"/>
        </w:rPr>
      </w:pPr>
      <w:r>
        <w:rPr>
          <w:rFonts w:hint="eastAsia" w:ascii="仿宋" w:hAnsi="仿宋" w:eastAsia="仿宋" w:cs="仿宋"/>
          <w:b/>
          <w:sz w:val="24"/>
          <w:szCs w:val="24"/>
          <w:lang w:val="en-US" w:eastAsia="zh-CN"/>
        </w:rPr>
        <w:t>2.认定为居住房屋的</w:t>
      </w:r>
      <w:r>
        <w:rPr>
          <w:rFonts w:hint="eastAsia" w:ascii="仿宋" w:hAnsi="仿宋" w:eastAsia="仿宋" w:cs="仿宋"/>
          <w:b/>
          <w:bCs/>
          <w:kern w:val="0"/>
          <w:sz w:val="24"/>
          <w:szCs w:val="24"/>
          <w:lang w:val="zh-CN"/>
        </w:rPr>
        <w:t>建筑物补偿标准</w:t>
      </w:r>
    </w:p>
    <w:tbl>
      <w:tblPr>
        <w:tblStyle w:val="8"/>
        <w:tblW w:w="8918" w:type="dxa"/>
        <w:jc w:val="center"/>
        <w:tblLayout w:type="fixed"/>
        <w:tblCellMar>
          <w:top w:w="0" w:type="dxa"/>
          <w:left w:w="108" w:type="dxa"/>
          <w:bottom w:w="0" w:type="dxa"/>
          <w:right w:w="108" w:type="dxa"/>
        </w:tblCellMar>
      </w:tblPr>
      <w:tblGrid>
        <w:gridCol w:w="867"/>
        <w:gridCol w:w="2596"/>
        <w:gridCol w:w="921"/>
        <w:gridCol w:w="1226"/>
        <w:gridCol w:w="3308"/>
      </w:tblGrid>
      <w:tr>
        <w:tblPrEx>
          <w:tblCellMar>
            <w:top w:w="0" w:type="dxa"/>
            <w:left w:w="108" w:type="dxa"/>
            <w:bottom w:w="0" w:type="dxa"/>
            <w:right w:w="108" w:type="dxa"/>
          </w:tblCellMar>
        </w:tblPrEx>
        <w:trPr>
          <w:trHeight w:val="334" w:hRule="atLeast"/>
          <w:jc w:val="center"/>
        </w:trPr>
        <w:tc>
          <w:tcPr>
            <w:tcW w:w="86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序号</w:t>
            </w:r>
          </w:p>
        </w:tc>
        <w:tc>
          <w:tcPr>
            <w:tcW w:w="2596"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项目名称</w:t>
            </w:r>
          </w:p>
        </w:tc>
        <w:tc>
          <w:tcPr>
            <w:tcW w:w="921"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单位</w:t>
            </w:r>
          </w:p>
        </w:tc>
        <w:tc>
          <w:tcPr>
            <w:tcW w:w="1226"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单价（元）</w:t>
            </w:r>
          </w:p>
        </w:tc>
        <w:tc>
          <w:tcPr>
            <w:tcW w:w="3308"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szCs w:val="24"/>
              </w:rPr>
            </w:pPr>
            <w:r>
              <w:rPr>
                <w:rFonts w:hint="eastAsia" w:ascii="仿宋" w:hAnsi="仿宋" w:eastAsia="仿宋" w:cs="仿宋"/>
                <w:b/>
                <w:bCs/>
                <w:color w:val="000000"/>
                <w:kern w:val="0"/>
                <w:sz w:val="24"/>
                <w:szCs w:val="24"/>
              </w:rPr>
              <w:t>备注</w:t>
            </w:r>
          </w:p>
        </w:tc>
      </w:tr>
      <w:tr>
        <w:tblPrEx>
          <w:tblCellMar>
            <w:top w:w="0" w:type="dxa"/>
            <w:left w:w="108" w:type="dxa"/>
            <w:bottom w:w="0" w:type="dxa"/>
            <w:right w:w="108" w:type="dxa"/>
          </w:tblCellMar>
        </w:tblPrEx>
        <w:trPr>
          <w:trHeight w:val="304" w:hRule="atLeast"/>
          <w:jc w:val="center"/>
        </w:trPr>
        <w:tc>
          <w:tcPr>
            <w:tcW w:w="867"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1</w:t>
            </w:r>
          </w:p>
        </w:tc>
        <w:tc>
          <w:tcPr>
            <w:tcW w:w="2596"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框架结构</w:t>
            </w:r>
          </w:p>
        </w:tc>
        <w:tc>
          <w:tcPr>
            <w:tcW w:w="921"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zh-CN"/>
              </w:rPr>
              <w:t>㎡</w:t>
            </w:r>
          </w:p>
        </w:tc>
        <w:tc>
          <w:tcPr>
            <w:tcW w:w="1226" w:type="dxa"/>
            <w:tcBorders>
              <w:top w:val="nil"/>
              <w:left w:val="nil"/>
              <w:bottom w:val="single" w:color="auto" w:sz="4" w:space="0"/>
              <w:right w:val="single" w:color="auto" w:sz="4" w:space="0"/>
            </w:tcBorders>
            <w:vAlign w:val="center"/>
          </w:tcPr>
          <w:p>
            <w:pPr>
              <w:widowControl/>
              <w:spacing w:line="36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1500</w:t>
            </w:r>
          </w:p>
        </w:tc>
        <w:tc>
          <w:tcPr>
            <w:tcW w:w="3308" w:type="dxa"/>
            <w:vMerge w:val="restart"/>
            <w:tcBorders>
              <w:top w:val="nil"/>
              <w:left w:val="nil"/>
              <w:right w:val="single" w:color="auto" w:sz="4" w:space="0"/>
            </w:tcBorders>
            <w:vAlign w:val="center"/>
          </w:tcPr>
          <w:p>
            <w:pPr>
              <w:widowControl/>
              <w:spacing w:line="24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rPr>
              <w:t>含基础</w:t>
            </w:r>
            <w:r>
              <w:rPr>
                <w:rFonts w:hint="eastAsia" w:ascii="仿宋" w:hAnsi="仿宋" w:eastAsia="仿宋" w:cs="仿宋"/>
                <w:b w:val="0"/>
                <w:bCs w:val="0"/>
                <w:color w:val="000000"/>
                <w:kern w:val="0"/>
                <w:sz w:val="24"/>
                <w:szCs w:val="24"/>
                <w:lang w:eastAsia="zh-CN"/>
              </w:rPr>
              <w:t>（</w:t>
            </w:r>
            <w:r>
              <w:rPr>
                <w:rFonts w:hint="eastAsia" w:ascii="仿宋" w:hAnsi="仿宋" w:eastAsia="仿宋" w:cs="仿宋"/>
                <w:b w:val="0"/>
                <w:bCs w:val="0"/>
                <w:color w:val="000000"/>
                <w:kern w:val="0"/>
                <w:sz w:val="24"/>
                <w:szCs w:val="24"/>
              </w:rPr>
              <w:t>基础</w:t>
            </w:r>
            <w:r>
              <w:rPr>
                <w:rFonts w:hint="eastAsia" w:ascii="仿宋" w:hAnsi="仿宋" w:eastAsia="仿宋" w:cs="仿宋"/>
                <w:b w:val="0"/>
                <w:bCs w:val="0"/>
                <w:color w:val="000000"/>
                <w:kern w:val="0"/>
                <w:sz w:val="24"/>
                <w:szCs w:val="24"/>
                <w:lang w:val="en-US" w:eastAsia="zh-CN"/>
              </w:rPr>
              <w:t>超深另外计)</w:t>
            </w:r>
            <w:r>
              <w:rPr>
                <w:rFonts w:hint="eastAsia" w:ascii="仿宋" w:hAnsi="仿宋" w:eastAsia="仿宋" w:cs="仿宋"/>
                <w:b w:val="0"/>
                <w:bCs w:val="0"/>
                <w:color w:val="000000"/>
                <w:kern w:val="0"/>
                <w:sz w:val="24"/>
                <w:szCs w:val="24"/>
              </w:rPr>
              <w:t>、</w:t>
            </w:r>
            <w:r>
              <w:rPr>
                <w:rFonts w:hint="eastAsia" w:ascii="仿宋" w:hAnsi="仿宋" w:eastAsia="仿宋" w:cs="宋体"/>
                <w:snapToGrid/>
                <w:color w:val="000000"/>
                <w:sz w:val="24"/>
                <w:szCs w:val="24"/>
              </w:rPr>
              <w:t>简易门窗与外墙批灰</w:t>
            </w:r>
            <w:r>
              <w:rPr>
                <w:rFonts w:hint="eastAsia" w:ascii="仿宋" w:hAnsi="仿宋" w:eastAsia="仿宋" w:cs="宋体"/>
                <w:snapToGrid/>
                <w:color w:val="000000"/>
                <w:sz w:val="24"/>
                <w:szCs w:val="24"/>
                <w:lang w:eastAsia="zh-CN"/>
              </w:rPr>
              <w:t>，</w:t>
            </w:r>
            <w:r>
              <w:rPr>
                <w:rFonts w:hint="eastAsia" w:ascii="仿宋" w:hAnsi="仿宋" w:eastAsia="仿宋" w:cs="仿宋"/>
                <w:b w:val="0"/>
                <w:bCs w:val="0"/>
                <w:color w:val="000000"/>
                <w:kern w:val="0"/>
                <w:sz w:val="24"/>
                <w:szCs w:val="24"/>
              </w:rPr>
              <w:t>不含地价</w:t>
            </w:r>
          </w:p>
        </w:tc>
      </w:tr>
      <w:tr>
        <w:tblPrEx>
          <w:tblCellMar>
            <w:top w:w="0" w:type="dxa"/>
            <w:left w:w="108" w:type="dxa"/>
            <w:bottom w:w="0" w:type="dxa"/>
            <w:right w:w="108" w:type="dxa"/>
          </w:tblCellMar>
        </w:tblPrEx>
        <w:trPr>
          <w:trHeight w:val="304" w:hRule="atLeast"/>
          <w:jc w:val="center"/>
        </w:trPr>
        <w:tc>
          <w:tcPr>
            <w:tcW w:w="867"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2</w:t>
            </w:r>
          </w:p>
        </w:tc>
        <w:tc>
          <w:tcPr>
            <w:tcW w:w="2596"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混合结构</w:t>
            </w:r>
          </w:p>
        </w:tc>
        <w:tc>
          <w:tcPr>
            <w:tcW w:w="921"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lang w:val="zh-CN"/>
              </w:rPr>
            </w:pPr>
            <w:r>
              <w:rPr>
                <w:rFonts w:hint="eastAsia" w:ascii="仿宋" w:hAnsi="仿宋" w:eastAsia="仿宋" w:cs="仿宋"/>
                <w:b w:val="0"/>
                <w:bCs w:val="0"/>
                <w:color w:val="000000"/>
                <w:kern w:val="0"/>
                <w:sz w:val="24"/>
                <w:szCs w:val="24"/>
                <w:lang w:val="zh-CN"/>
              </w:rPr>
              <w:t>㎡</w:t>
            </w:r>
          </w:p>
        </w:tc>
        <w:tc>
          <w:tcPr>
            <w:tcW w:w="1226"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lang w:val="en-US" w:eastAsia="zh-CN"/>
              </w:rPr>
              <w:t>1300</w:t>
            </w:r>
          </w:p>
        </w:tc>
        <w:tc>
          <w:tcPr>
            <w:tcW w:w="3308" w:type="dxa"/>
            <w:vMerge w:val="continue"/>
            <w:tcBorders>
              <w:left w:val="nil"/>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rPr>
            </w:pPr>
          </w:p>
        </w:tc>
      </w:tr>
      <w:tr>
        <w:tblPrEx>
          <w:tblCellMar>
            <w:top w:w="0" w:type="dxa"/>
            <w:left w:w="108" w:type="dxa"/>
            <w:bottom w:w="0" w:type="dxa"/>
            <w:right w:w="108" w:type="dxa"/>
          </w:tblCellMar>
        </w:tblPrEx>
        <w:trPr>
          <w:trHeight w:val="364" w:hRule="atLeast"/>
          <w:jc w:val="center"/>
        </w:trPr>
        <w:tc>
          <w:tcPr>
            <w:tcW w:w="867"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3</w:t>
            </w:r>
          </w:p>
        </w:tc>
        <w:tc>
          <w:tcPr>
            <w:tcW w:w="2596" w:type="dxa"/>
            <w:tcBorders>
              <w:top w:val="nil"/>
              <w:left w:val="nil"/>
              <w:bottom w:val="single" w:color="auto" w:sz="4" w:space="0"/>
              <w:right w:val="single" w:color="auto" w:sz="4" w:space="0"/>
            </w:tcBorders>
            <w:vAlign w:val="center"/>
          </w:tcPr>
          <w:p>
            <w:pPr>
              <w:widowControl/>
              <w:spacing w:line="240" w:lineRule="auto"/>
              <w:jc w:val="center"/>
              <w:rPr>
                <w:rFonts w:hint="eastAsia" w:ascii="仿宋" w:hAnsi="仿宋" w:eastAsia="仿宋" w:cs="仿宋"/>
                <w:b w:val="0"/>
                <w:bCs w:val="0"/>
                <w:color w:val="000000"/>
                <w:kern w:val="0"/>
                <w:sz w:val="24"/>
                <w:szCs w:val="24"/>
              </w:rPr>
            </w:pPr>
            <w:r>
              <w:rPr>
                <w:rFonts w:hint="eastAsia" w:ascii="仿宋" w:hAnsi="仿宋" w:eastAsia="仿宋" w:cs="仿宋"/>
                <w:b w:val="0"/>
                <w:bCs w:val="0"/>
                <w:color w:val="000000"/>
                <w:kern w:val="0"/>
                <w:sz w:val="24"/>
                <w:szCs w:val="24"/>
              </w:rPr>
              <w:t>（泥、红）砖木（铁皮）瓦结构</w:t>
            </w:r>
          </w:p>
        </w:tc>
        <w:tc>
          <w:tcPr>
            <w:tcW w:w="921"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lang w:val="zh-CN"/>
              </w:rPr>
            </w:pPr>
            <w:r>
              <w:rPr>
                <w:rFonts w:hint="eastAsia" w:ascii="仿宋" w:hAnsi="仿宋" w:eastAsia="仿宋" w:cs="仿宋"/>
                <w:b w:val="0"/>
                <w:bCs w:val="0"/>
                <w:color w:val="000000"/>
                <w:kern w:val="0"/>
                <w:sz w:val="24"/>
                <w:szCs w:val="24"/>
                <w:lang w:val="zh-CN"/>
              </w:rPr>
              <w:t>㎡</w:t>
            </w:r>
          </w:p>
        </w:tc>
        <w:tc>
          <w:tcPr>
            <w:tcW w:w="1226" w:type="dxa"/>
            <w:tcBorders>
              <w:top w:val="nil"/>
              <w:left w:val="nil"/>
              <w:bottom w:val="single" w:color="auto" w:sz="4" w:space="0"/>
              <w:right w:val="single" w:color="auto" w:sz="4" w:space="0"/>
            </w:tcBorders>
            <w:vAlign w:val="center"/>
          </w:tcPr>
          <w:p>
            <w:pPr>
              <w:widowControl/>
              <w:spacing w:line="36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900</w:t>
            </w:r>
          </w:p>
        </w:tc>
        <w:tc>
          <w:tcPr>
            <w:tcW w:w="3308" w:type="dxa"/>
            <w:vMerge w:val="continue"/>
            <w:tcBorders>
              <w:left w:val="nil"/>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rPr>
            </w:pPr>
          </w:p>
        </w:tc>
      </w:tr>
      <w:tr>
        <w:tblPrEx>
          <w:tblCellMar>
            <w:top w:w="0" w:type="dxa"/>
            <w:left w:w="108" w:type="dxa"/>
            <w:bottom w:w="0" w:type="dxa"/>
            <w:right w:w="108" w:type="dxa"/>
          </w:tblCellMar>
        </w:tblPrEx>
        <w:trPr>
          <w:trHeight w:val="391" w:hRule="atLeast"/>
          <w:jc w:val="center"/>
        </w:trPr>
        <w:tc>
          <w:tcPr>
            <w:tcW w:w="86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lang w:eastAsia="zh-CN"/>
              </w:rPr>
            </w:pPr>
            <w:r>
              <w:rPr>
                <w:rFonts w:hint="eastAsia" w:ascii="仿宋" w:hAnsi="仿宋" w:eastAsia="仿宋" w:cs="仿宋"/>
                <w:b w:val="0"/>
                <w:bCs w:val="0"/>
                <w:color w:val="000000"/>
                <w:kern w:val="0"/>
                <w:sz w:val="24"/>
                <w:szCs w:val="24"/>
                <w:lang w:val="en-US" w:eastAsia="zh-CN"/>
              </w:rPr>
              <w:t>4</w:t>
            </w:r>
          </w:p>
        </w:tc>
        <w:tc>
          <w:tcPr>
            <w:tcW w:w="259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default" w:ascii="仿宋" w:hAnsi="仿宋" w:eastAsia="仿宋" w:cs="仿宋"/>
                <w:b w:val="0"/>
                <w:bCs w:val="0"/>
                <w:color w:val="000000"/>
                <w:kern w:val="0"/>
                <w:sz w:val="24"/>
                <w:szCs w:val="24"/>
                <w:lang w:val="en-US"/>
              </w:rPr>
            </w:pPr>
            <w:r>
              <w:rPr>
                <w:rFonts w:hint="eastAsia" w:ascii="仿宋" w:hAnsi="仿宋" w:eastAsia="仿宋" w:cs="仿宋"/>
                <w:b w:val="0"/>
                <w:bCs w:val="0"/>
                <w:color w:val="000000"/>
                <w:kern w:val="0"/>
                <w:sz w:val="24"/>
                <w:szCs w:val="24"/>
              </w:rPr>
              <w:t>红砖铁皮瓦</w:t>
            </w:r>
            <w:r>
              <w:rPr>
                <w:rFonts w:hint="eastAsia" w:ascii="仿宋" w:hAnsi="仿宋" w:eastAsia="仿宋" w:cs="仿宋"/>
                <w:b w:val="0"/>
                <w:bCs w:val="0"/>
                <w:color w:val="000000"/>
                <w:kern w:val="0"/>
                <w:sz w:val="24"/>
                <w:szCs w:val="24"/>
                <w:lang w:eastAsia="zh-CN"/>
              </w:rPr>
              <w:t>（</w:t>
            </w:r>
            <w:r>
              <w:rPr>
                <w:rFonts w:hint="eastAsia" w:ascii="仿宋" w:hAnsi="仿宋" w:eastAsia="仿宋" w:cs="仿宋"/>
                <w:b w:val="0"/>
                <w:bCs w:val="0"/>
                <w:color w:val="000000"/>
                <w:kern w:val="0"/>
                <w:sz w:val="24"/>
                <w:szCs w:val="24"/>
                <w:lang w:val="en-US" w:eastAsia="zh-CN"/>
              </w:rPr>
              <w:t>石棉</w:t>
            </w:r>
            <w:r>
              <w:rPr>
                <w:rFonts w:hint="eastAsia" w:ascii="仿宋" w:hAnsi="仿宋" w:eastAsia="仿宋" w:cs="仿宋"/>
                <w:b w:val="0"/>
                <w:bCs w:val="0"/>
                <w:color w:val="000000"/>
                <w:kern w:val="0"/>
                <w:sz w:val="24"/>
                <w:szCs w:val="24"/>
              </w:rPr>
              <w:t>）</w:t>
            </w:r>
            <w:r>
              <w:rPr>
                <w:rFonts w:hint="eastAsia" w:ascii="仿宋" w:hAnsi="仿宋" w:eastAsia="仿宋" w:cs="仿宋"/>
                <w:b w:val="0"/>
                <w:bCs w:val="0"/>
                <w:color w:val="000000"/>
                <w:kern w:val="0"/>
                <w:sz w:val="24"/>
                <w:szCs w:val="24"/>
                <w:lang w:val="en-US" w:eastAsia="zh-CN"/>
              </w:rPr>
              <w:t>瓦（四周砌墙）</w:t>
            </w: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lang w:val="zh-CN"/>
              </w:rPr>
            </w:pPr>
            <w:r>
              <w:rPr>
                <w:rFonts w:hint="eastAsia" w:ascii="仿宋" w:hAnsi="仿宋" w:eastAsia="仿宋" w:cs="仿宋"/>
                <w:b w:val="0"/>
                <w:bCs w:val="0"/>
                <w:color w:val="000000"/>
                <w:kern w:val="0"/>
                <w:sz w:val="24"/>
                <w:szCs w:val="24"/>
                <w:lang w:val="zh-CN"/>
              </w:rPr>
              <w:t>㎡</w:t>
            </w:r>
          </w:p>
        </w:tc>
        <w:tc>
          <w:tcPr>
            <w:tcW w:w="122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default" w:ascii="仿宋" w:hAnsi="仿宋" w:eastAsia="仿宋" w:cs="仿宋"/>
                <w:b w:val="0"/>
                <w:bCs w:val="0"/>
                <w:color w:val="000000"/>
                <w:kern w:val="0"/>
                <w:sz w:val="24"/>
                <w:szCs w:val="24"/>
                <w:lang w:val="en-US" w:eastAsia="zh-CN"/>
              </w:rPr>
            </w:pPr>
            <w:r>
              <w:rPr>
                <w:rFonts w:hint="eastAsia" w:ascii="仿宋" w:hAnsi="仿宋" w:eastAsia="仿宋" w:cs="仿宋"/>
                <w:b w:val="0"/>
                <w:bCs w:val="0"/>
                <w:color w:val="000000"/>
                <w:kern w:val="0"/>
                <w:sz w:val="24"/>
                <w:szCs w:val="24"/>
                <w:lang w:val="en-US" w:eastAsia="zh-CN"/>
              </w:rPr>
              <w:t>650</w:t>
            </w:r>
          </w:p>
        </w:tc>
        <w:tc>
          <w:tcPr>
            <w:tcW w:w="3308" w:type="dxa"/>
            <w:vMerge w:val="continue"/>
            <w:tcBorders>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val="0"/>
                <w:bCs w:val="0"/>
                <w:color w:val="000000"/>
                <w:kern w:val="0"/>
                <w:sz w:val="24"/>
                <w:szCs w:val="24"/>
              </w:rPr>
            </w:pPr>
          </w:p>
        </w:tc>
      </w:tr>
    </w:tbl>
    <w:p>
      <w:pPr>
        <w:autoSpaceDE w:val="0"/>
        <w:autoSpaceDN w:val="0"/>
        <w:adjustRightInd w:val="0"/>
        <w:spacing w:after="156" w:line="360" w:lineRule="exact"/>
        <w:rPr>
          <w:rFonts w:ascii="宋体" w:hAnsi="宋体" w:cs="宋体"/>
          <w:snapToGrid w:val="0"/>
          <w:kern w:val="0"/>
          <w:szCs w:val="21"/>
        </w:rPr>
      </w:pPr>
      <w:r>
        <w:rPr>
          <w:rFonts w:hint="eastAsia" w:ascii="仿宋" w:hAnsi="仿宋" w:eastAsia="仿宋" w:cs="仿宋"/>
          <w:snapToGrid w:val="0"/>
          <w:kern w:val="0"/>
          <w:sz w:val="24"/>
          <w:szCs w:val="24"/>
        </w:rPr>
        <w:t>备注：</w:t>
      </w:r>
      <w:r>
        <w:rPr>
          <w:rFonts w:hint="eastAsia" w:ascii="仿宋" w:hAnsi="仿宋" w:eastAsia="仿宋" w:cs="仿宋"/>
          <w:color w:val="000000"/>
          <w:sz w:val="24"/>
          <w:szCs w:val="24"/>
        </w:rPr>
        <w:t>上述</w:t>
      </w:r>
      <w:r>
        <w:rPr>
          <w:rFonts w:hint="eastAsia" w:ascii="仿宋" w:hAnsi="仿宋" w:eastAsia="仿宋" w:cs="仿宋"/>
          <w:color w:val="000000"/>
          <w:sz w:val="24"/>
          <w:szCs w:val="24"/>
          <w:lang w:val="en-US" w:eastAsia="zh-CN"/>
        </w:rPr>
        <w:t>补偿标准中的补偿单价</w:t>
      </w:r>
      <w:r>
        <w:rPr>
          <w:rFonts w:hint="eastAsia" w:ascii="仿宋" w:hAnsi="仿宋" w:eastAsia="仿宋" w:cs="仿宋"/>
          <w:color w:val="000000"/>
          <w:sz w:val="24"/>
          <w:szCs w:val="24"/>
        </w:rPr>
        <w:t>均</w:t>
      </w:r>
      <w:r>
        <w:rPr>
          <w:rFonts w:hint="eastAsia" w:ascii="仿宋" w:hAnsi="仿宋" w:eastAsia="仿宋" w:cs="仿宋"/>
          <w:color w:val="000000"/>
          <w:sz w:val="24"/>
          <w:szCs w:val="24"/>
          <w:lang w:val="en-US" w:eastAsia="zh-CN"/>
        </w:rPr>
        <w:t>已</w:t>
      </w:r>
      <w:r>
        <w:rPr>
          <w:rFonts w:hint="eastAsia" w:ascii="仿宋" w:hAnsi="仿宋" w:eastAsia="仿宋" w:cs="仿宋"/>
          <w:color w:val="000000"/>
          <w:sz w:val="24"/>
          <w:szCs w:val="24"/>
        </w:rPr>
        <w:t>包含</w:t>
      </w:r>
      <w:r>
        <w:rPr>
          <w:rFonts w:hint="eastAsia" w:ascii="仿宋" w:hAnsi="仿宋" w:eastAsia="仿宋" w:cs="仿宋"/>
          <w:color w:val="000000"/>
          <w:sz w:val="24"/>
          <w:szCs w:val="24"/>
          <w:lang w:val="en-US" w:eastAsia="zh-CN"/>
        </w:rPr>
        <w:t>所属建筑物类型的各项</w:t>
      </w:r>
      <w:r>
        <w:rPr>
          <w:rFonts w:hint="eastAsia" w:ascii="仿宋" w:hAnsi="仿宋" w:eastAsia="仿宋" w:cs="仿宋"/>
          <w:kern w:val="0"/>
          <w:sz w:val="24"/>
          <w:szCs w:val="24"/>
          <w:lang w:val="zh-CN"/>
        </w:rPr>
        <w:t>人工、材料、机械设备费用</w:t>
      </w:r>
      <w:r>
        <w:rPr>
          <w:rFonts w:hint="eastAsia" w:ascii="仿宋" w:hAnsi="仿宋" w:eastAsia="仿宋" w:cs="仿宋"/>
          <w:kern w:val="0"/>
          <w:sz w:val="24"/>
          <w:szCs w:val="24"/>
          <w:lang w:val="en-US" w:eastAsia="zh-CN"/>
        </w:rPr>
        <w:t>等建造费用</w:t>
      </w:r>
      <w:r>
        <w:rPr>
          <w:rFonts w:hint="eastAsia" w:ascii="仿宋" w:hAnsi="仿宋" w:eastAsia="仿宋" w:cs="仿宋"/>
          <w:kern w:val="0"/>
          <w:sz w:val="24"/>
          <w:szCs w:val="24"/>
          <w:lang w:val="zh-CN"/>
        </w:rPr>
        <w:t>，</w:t>
      </w:r>
      <w:r>
        <w:rPr>
          <w:rFonts w:hint="eastAsia" w:ascii="仿宋" w:hAnsi="仿宋" w:eastAsia="仿宋" w:cs="仿宋"/>
          <w:snapToGrid w:val="0"/>
          <w:kern w:val="0"/>
          <w:sz w:val="24"/>
          <w:szCs w:val="24"/>
        </w:rPr>
        <w:t>不包含室内外装饰装修，未考虑成新率及扣除折旧</w:t>
      </w:r>
      <w:r>
        <w:rPr>
          <w:rFonts w:hint="eastAsia" w:hAnsi="宋体"/>
          <w:snapToGrid w:val="0"/>
          <w:kern w:val="0"/>
          <w:szCs w:val="21"/>
        </w:rPr>
        <w:t>。</w:t>
      </w:r>
    </w:p>
    <w:p>
      <w:pPr>
        <w:numPr>
          <w:ilvl w:val="0"/>
          <w:numId w:val="0"/>
        </w:numPr>
        <w:autoSpaceDE w:val="0"/>
        <w:autoSpaceDN w:val="0"/>
        <w:adjustRightInd w:val="0"/>
        <w:spacing w:after="156" w:line="360" w:lineRule="auto"/>
        <w:ind w:leftChars="0"/>
        <w:jc w:val="left"/>
        <w:rPr>
          <w:rFonts w:hint="eastAsia" w:ascii="仿宋" w:hAnsi="仿宋" w:eastAsia="仿宋" w:cs="仿宋"/>
          <w:b/>
          <w:bCs/>
          <w:kern w:val="0"/>
          <w:sz w:val="24"/>
          <w:szCs w:val="24"/>
          <w:lang w:val="zh-CN"/>
        </w:rPr>
      </w:pPr>
      <w:r>
        <w:rPr>
          <w:rFonts w:hint="eastAsia" w:ascii="仿宋" w:hAnsi="仿宋" w:eastAsia="仿宋" w:cs="仿宋"/>
          <w:b/>
          <w:bCs/>
          <w:kern w:val="0"/>
          <w:sz w:val="24"/>
          <w:szCs w:val="24"/>
          <w:lang w:val="en-US" w:eastAsia="zh-CN"/>
        </w:rPr>
        <w:t>3.</w:t>
      </w:r>
      <w:r>
        <w:rPr>
          <w:rFonts w:hint="eastAsia" w:ascii="仿宋" w:hAnsi="仿宋" w:eastAsia="仿宋" w:cs="仿宋"/>
          <w:b/>
          <w:bCs/>
          <w:kern w:val="0"/>
          <w:sz w:val="24"/>
          <w:szCs w:val="24"/>
        </w:rPr>
        <w:t>房屋室内装饰装修（二次装修）补偿标准</w:t>
      </w:r>
    </w:p>
    <w:tbl>
      <w:tblPr>
        <w:tblStyle w:val="8"/>
        <w:tblW w:w="9240" w:type="dxa"/>
        <w:tblInd w:w="0" w:type="dxa"/>
        <w:tblBorders>
          <w:top w:val="none" w:color="auto" w:sz="0" w:space="0"/>
          <w:left w:val="none" w:color="auto" w:sz="0" w:space="0"/>
          <w:bottom w:val="single" w:color="D6D6D6" w:sz="6" w:space="0"/>
          <w:right w:val="single" w:color="D6D6D6"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96"/>
        <w:gridCol w:w="1475"/>
        <w:gridCol w:w="727"/>
        <w:gridCol w:w="1444"/>
        <w:gridCol w:w="1335"/>
        <w:gridCol w:w="3563"/>
      </w:tblGrid>
      <w:tr>
        <w:tblPrEx>
          <w:tblBorders>
            <w:top w:val="none" w:color="auto" w:sz="0" w:space="0"/>
            <w:left w:val="none" w:color="auto" w:sz="0" w:space="0"/>
            <w:bottom w:val="single" w:color="D6D6D6" w:sz="6" w:space="0"/>
            <w:right w:val="single" w:color="D6D6D6" w:sz="6" w:space="0"/>
            <w:insideH w:val="none" w:color="auto" w:sz="0" w:space="0"/>
            <w:insideV w:val="none" w:color="auto" w:sz="0" w:space="0"/>
          </w:tblBorders>
          <w:shd w:val="clear" w:color="auto" w:fill="FFFFFF"/>
          <w:tblCellMar>
            <w:top w:w="0" w:type="dxa"/>
            <w:left w:w="0" w:type="dxa"/>
            <w:bottom w:w="0" w:type="dxa"/>
            <w:right w:w="0" w:type="dxa"/>
          </w:tblCellMar>
        </w:tblPrEx>
        <w:tc>
          <w:tcPr>
            <w:tcW w:w="696"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b/>
                <w:bCs/>
                <w:color w:val="000000"/>
                <w:kern w:val="0"/>
                <w:sz w:val="24"/>
                <w:lang w:val="en-US" w:eastAsia="zh-CN"/>
              </w:rPr>
            </w:pPr>
            <w:r>
              <w:rPr>
                <w:rFonts w:hint="eastAsia" w:ascii="仿宋" w:hAnsi="仿宋" w:eastAsia="仿宋" w:cs="仿宋"/>
                <w:b/>
                <w:bCs/>
                <w:color w:val="000000"/>
                <w:kern w:val="0"/>
                <w:sz w:val="24"/>
                <w:lang w:val="en-US" w:eastAsia="zh-CN"/>
              </w:rPr>
              <w:t>序号</w:t>
            </w:r>
          </w:p>
        </w:tc>
        <w:tc>
          <w:tcPr>
            <w:tcW w:w="147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b/>
                <w:bCs/>
                <w:color w:val="000000"/>
                <w:kern w:val="0"/>
                <w:sz w:val="24"/>
                <w:lang w:val="en-US" w:eastAsia="zh-CN"/>
              </w:rPr>
            </w:pPr>
            <w:r>
              <w:rPr>
                <w:rFonts w:hint="eastAsia" w:ascii="仿宋" w:hAnsi="仿宋" w:eastAsia="仿宋" w:cs="仿宋"/>
                <w:b/>
                <w:bCs/>
                <w:color w:val="000000"/>
                <w:kern w:val="0"/>
                <w:sz w:val="24"/>
                <w:lang w:val="en-US" w:eastAsia="zh-CN"/>
              </w:rPr>
              <w:t>项目名称</w:t>
            </w:r>
          </w:p>
        </w:tc>
        <w:tc>
          <w:tcPr>
            <w:tcW w:w="727"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b/>
                <w:bCs/>
                <w:color w:val="000000"/>
                <w:kern w:val="0"/>
                <w:sz w:val="24"/>
                <w:lang w:val="en-US" w:eastAsia="zh-CN"/>
              </w:rPr>
            </w:pPr>
            <w:r>
              <w:rPr>
                <w:rFonts w:hint="eastAsia" w:ascii="仿宋" w:hAnsi="仿宋" w:eastAsia="仿宋" w:cs="仿宋"/>
                <w:b/>
                <w:bCs/>
                <w:color w:val="000000"/>
                <w:kern w:val="0"/>
                <w:sz w:val="24"/>
                <w:lang w:val="en-US" w:eastAsia="zh-CN"/>
              </w:rPr>
              <w:t>单位</w:t>
            </w:r>
          </w:p>
        </w:tc>
        <w:tc>
          <w:tcPr>
            <w:tcW w:w="1444"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b/>
                <w:bCs/>
                <w:color w:val="000000"/>
                <w:kern w:val="0"/>
                <w:sz w:val="24"/>
                <w:lang w:val="en-US" w:eastAsia="zh-CN"/>
              </w:rPr>
            </w:pPr>
            <w:r>
              <w:rPr>
                <w:rFonts w:hint="eastAsia" w:ascii="仿宋" w:hAnsi="仿宋" w:eastAsia="仿宋" w:cs="仿宋"/>
                <w:b/>
                <w:bCs/>
                <w:color w:val="000000"/>
                <w:kern w:val="0"/>
                <w:sz w:val="24"/>
                <w:lang w:val="en-US" w:eastAsia="zh-CN"/>
              </w:rPr>
              <w:t>单价（元）</w:t>
            </w:r>
          </w:p>
        </w:tc>
        <w:tc>
          <w:tcPr>
            <w:tcW w:w="133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b/>
                <w:bCs/>
                <w:color w:val="000000"/>
                <w:kern w:val="0"/>
                <w:sz w:val="24"/>
                <w:lang w:val="en-US" w:eastAsia="zh-CN"/>
              </w:rPr>
            </w:pPr>
            <w:r>
              <w:rPr>
                <w:rFonts w:hint="eastAsia" w:ascii="仿宋" w:hAnsi="仿宋" w:eastAsia="仿宋" w:cs="仿宋"/>
                <w:b/>
                <w:bCs/>
                <w:color w:val="000000"/>
                <w:kern w:val="0"/>
                <w:sz w:val="24"/>
                <w:lang w:val="en-US" w:eastAsia="zh-CN"/>
              </w:rPr>
              <w:t>等级</w:t>
            </w:r>
          </w:p>
        </w:tc>
        <w:tc>
          <w:tcPr>
            <w:tcW w:w="356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b/>
                <w:bCs/>
                <w:color w:val="000000"/>
                <w:kern w:val="0"/>
                <w:sz w:val="24"/>
                <w:lang w:val="en-US" w:eastAsia="zh-CN"/>
              </w:rPr>
            </w:pPr>
            <w:r>
              <w:rPr>
                <w:rFonts w:hint="eastAsia" w:ascii="仿宋" w:hAnsi="仿宋" w:eastAsia="仿宋" w:cs="仿宋"/>
                <w:b/>
                <w:bCs/>
                <w:color w:val="000000"/>
                <w:kern w:val="0"/>
                <w:sz w:val="24"/>
                <w:lang w:val="en-US" w:eastAsia="zh-CN"/>
              </w:rPr>
              <w:t>标准</w:t>
            </w:r>
          </w:p>
        </w:tc>
      </w:tr>
      <w:tr>
        <w:tblPrEx>
          <w:tblBorders>
            <w:top w:val="none" w:color="auto" w:sz="0" w:space="0"/>
            <w:left w:val="none" w:color="auto" w:sz="0" w:space="0"/>
            <w:bottom w:val="single" w:color="D6D6D6" w:sz="6" w:space="0"/>
            <w:right w:val="single" w:color="D6D6D6" w:sz="6" w:space="0"/>
            <w:insideH w:val="none" w:color="auto" w:sz="0" w:space="0"/>
            <w:insideV w:val="none" w:color="auto" w:sz="0" w:space="0"/>
          </w:tblBorders>
          <w:tblCellMar>
            <w:top w:w="0" w:type="dxa"/>
            <w:left w:w="0" w:type="dxa"/>
            <w:bottom w:w="0" w:type="dxa"/>
            <w:right w:w="0" w:type="dxa"/>
          </w:tblCellMar>
        </w:tblPrEx>
        <w:trPr>
          <w:trHeight w:val="845" w:hRule="atLeast"/>
        </w:trPr>
        <w:tc>
          <w:tcPr>
            <w:tcW w:w="696"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w:t>
            </w:r>
          </w:p>
        </w:tc>
        <w:tc>
          <w:tcPr>
            <w:tcW w:w="1475" w:type="dxa"/>
            <w:vMerge w:val="restart"/>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房屋室内装修</w:t>
            </w:r>
          </w:p>
        </w:tc>
        <w:tc>
          <w:tcPr>
            <w:tcW w:w="727" w:type="dxa"/>
            <w:vMerge w:val="restart"/>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w:t>
            </w:r>
          </w:p>
        </w:tc>
        <w:tc>
          <w:tcPr>
            <w:tcW w:w="1444"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1050-1250</w:t>
            </w:r>
          </w:p>
        </w:tc>
        <w:tc>
          <w:tcPr>
            <w:tcW w:w="133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高档装修</w:t>
            </w:r>
          </w:p>
        </w:tc>
        <w:tc>
          <w:tcPr>
            <w:tcW w:w="356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高档地面瓷片、造型吊顶、上墙瓷片、不锈钢门窗、水电</w:t>
            </w:r>
          </w:p>
        </w:tc>
      </w:tr>
      <w:tr>
        <w:tblPrEx>
          <w:tblBorders>
            <w:top w:val="none" w:color="auto" w:sz="0" w:space="0"/>
            <w:left w:val="none" w:color="auto" w:sz="0" w:space="0"/>
            <w:bottom w:val="single" w:color="D6D6D6" w:sz="6" w:space="0"/>
            <w:right w:val="single" w:color="D6D6D6" w:sz="6" w:space="0"/>
            <w:insideH w:val="none" w:color="auto" w:sz="0" w:space="0"/>
            <w:insideV w:val="none" w:color="auto" w:sz="0" w:space="0"/>
          </w:tblBorders>
          <w:tblCellMar>
            <w:top w:w="0" w:type="dxa"/>
            <w:left w:w="0" w:type="dxa"/>
            <w:bottom w:w="0" w:type="dxa"/>
            <w:right w:w="0" w:type="dxa"/>
          </w:tblCellMar>
        </w:tblPrEx>
        <w:trPr>
          <w:trHeight w:val="684" w:hRule="atLeast"/>
        </w:trPr>
        <w:tc>
          <w:tcPr>
            <w:tcW w:w="696"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2</w:t>
            </w:r>
          </w:p>
        </w:tc>
        <w:tc>
          <w:tcPr>
            <w:tcW w:w="1475" w:type="dxa"/>
            <w:vMerge w:val="continue"/>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p>
        </w:tc>
        <w:tc>
          <w:tcPr>
            <w:tcW w:w="727" w:type="dxa"/>
            <w:vMerge w:val="continue"/>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p>
        </w:tc>
        <w:tc>
          <w:tcPr>
            <w:tcW w:w="1444"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850-950</w:t>
            </w:r>
          </w:p>
        </w:tc>
        <w:tc>
          <w:tcPr>
            <w:tcW w:w="133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中档装修</w:t>
            </w:r>
          </w:p>
        </w:tc>
        <w:tc>
          <w:tcPr>
            <w:tcW w:w="356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中档地面瓷片、墙膏、吊顶及墙裙、不锈钢门窗、水电</w:t>
            </w:r>
          </w:p>
        </w:tc>
      </w:tr>
      <w:tr>
        <w:tblPrEx>
          <w:tblBorders>
            <w:top w:val="none" w:color="auto" w:sz="0" w:space="0"/>
            <w:left w:val="none" w:color="auto" w:sz="0" w:space="0"/>
            <w:bottom w:val="single" w:color="D6D6D6" w:sz="6" w:space="0"/>
            <w:right w:val="single" w:color="D6D6D6" w:sz="6" w:space="0"/>
            <w:insideH w:val="none" w:color="auto" w:sz="0" w:space="0"/>
            <w:insideV w:val="none" w:color="auto" w:sz="0" w:space="0"/>
          </w:tblBorders>
          <w:tblCellMar>
            <w:top w:w="0" w:type="dxa"/>
            <w:left w:w="0" w:type="dxa"/>
            <w:bottom w:w="0" w:type="dxa"/>
            <w:right w:w="0" w:type="dxa"/>
          </w:tblCellMar>
        </w:tblPrEx>
        <w:tc>
          <w:tcPr>
            <w:tcW w:w="696"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3</w:t>
            </w:r>
          </w:p>
        </w:tc>
        <w:tc>
          <w:tcPr>
            <w:tcW w:w="1475" w:type="dxa"/>
            <w:vMerge w:val="continue"/>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p>
        </w:tc>
        <w:tc>
          <w:tcPr>
            <w:tcW w:w="727" w:type="dxa"/>
            <w:vMerge w:val="continue"/>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p>
        </w:tc>
        <w:tc>
          <w:tcPr>
            <w:tcW w:w="1444"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650-750</w:t>
            </w:r>
          </w:p>
        </w:tc>
        <w:tc>
          <w:tcPr>
            <w:tcW w:w="133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普通装修</w:t>
            </w:r>
          </w:p>
        </w:tc>
        <w:tc>
          <w:tcPr>
            <w:tcW w:w="356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普通地面瓷片、墙膏、门窗、水电</w:t>
            </w:r>
          </w:p>
        </w:tc>
      </w:tr>
      <w:tr>
        <w:tblPrEx>
          <w:tblBorders>
            <w:top w:val="none" w:color="auto" w:sz="0" w:space="0"/>
            <w:left w:val="none" w:color="auto" w:sz="0" w:space="0"/>
            <w:bottom w:val="single" w:color="D6D6D6" w:sz="6" w:space="0"/>
            <w:right w:val="single" w:color="D6D6D6" w:sz="6" w:space="0"/>
            <w:insideH w:val="none" w:color="auto" w:sz="0" w:space="0"/>
            <w:insideV w:val="none" w:color="auto" w:sz="0" w:space="0"/>
          </w:tblBorders>
          <w:tblCellMar>
            <w:top w:w="0" w:type="dxa"/>
            <w:left w:w="0" w:type="dxa"/>
            <w:bottom w:w="0" w:type="dxa"/>
            <w:right w:w="0" w:type="dxa"/>
          </w:tblCellMar>
        </w:tblPrEx>
        <w:tc>
          <w:tcPr>
            <w:tcW w:w="696"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4</w:t>
            </w:r>
          </w:p>
        </w:tc>
        <w:tc>
          <w:tcPr>
            <w:tcW w:w="1475" w:type="dxa"/>
            <w:vMerge w:val="continue"/>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p>
        </w:tc>
        <w:tc>
          <w:tcPr>
            <w:tcW w:w="727" w:type="dxa"/>
            <w:vMerge w:val="continue"/>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p>
        </w:tc>
        <w:tc>
          <w:tcPr>
            <w:tcW w:w="1444"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300-450</w:t>
            </w:r>
          </w:p>
        </w:tc>
        <w:tc>
          <w:tcPr>
            <w:tcW w:w="133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简单装修</w:t>
            </w:r>
          </w:p>
        </w:tc>
        <w:tc>
          <w:tcPr>
            <w:tcW w:w="356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水泥地面、墙膏、门窗、水电</w:t>
            </w:r>
          </w:p>
        </w:tc>
      </w:tr>
    </w:tbl>
    <w:p>
      <w:pPr>
        <w:tabs>
          <w:tab w:val="left" w:pos="180"/>
          <w:tab w:val="left" w:pos="360"/>
          <w:tab w:val="left" w:pos="9000"/>
        </w:tabs>
        <w:autoSpaceDE w:val="0"/>
        <w:autoSpaceDN w:val="0"/>
        <w:adjustRightInd w:val="0"/>
        <w:spacing w:line="360" w:lineRule="auto"/>
        <w:rPr>
          <w:rFonts w:hint="eastAsia" w:ascii="仿宋" w:hAnsi="仿宋" w:eastAsia="仿宋" w:cs="仿宋"/>
          <w:kern w:val="0"/>
          <w:sz w:val="24"/>
          <w:szCs w:val="24"/>
        </w:rPr>
      </w:pPr>
      <w:r>
        <w:rPr>
          <w:rFonts w:hint="eastAsia" w:ascii="仿宋" w:hAnsi="仿宋" w:eastAsia="仿宋" w:cs="仿宋"/>
          <w:snapToGrid w:val="0"/>
          <w:kern w:val="0"/>
          <w:sz w:val="24"/>
          <w:szCs w:val="24"/>
        </w:rPr>
        <w:t>备注：</w:t>
      </w:r>
      <w:r>
        <w:rPr>
          <w:rFonts w:hint="eastAsia" w:ascii="仿宋" w:hAnsi="仿宋" w:eastAsia="仿宋" w:cs="仿宋"/>
          <w:kern w:val="0"/>
          <w:sz w:val="24"/>
          <w:szCs w:val="24"/>
        </w:rPr>
        <w:t>若装修档次不符按照评估公司现场评估为准。</w:t>
      </w:r>
    </w:p>
    <w:p>
      <w:pPr>
        <w:numPr>
          <w:ilvl w:val="0"/>
          <w:numId w:val="2"/>
        </w:numPr>
        <w:autoSpaceDE w:val="0"/>
        <w:autoSpaceDN w:val="0"/>
        <w:adjustRightInd w:val="0"/>
        <w:spacing w:after="156" w:line="360" w:lineRule="auto"/>
        <w:ind w:leftChars="0"/>
        <w:jc w:val="left"/>
        <w:rPr>
          <w:rFonts w:hint="eastAsia" w:ascii="仿宋" w:hAnsi="仿宋" w:eastAsia="仿宋" w:cs="仿宋"/>
          <w:b/>
          <w:bCs/>
          <w:kern w:val="0"/>
          <w:sz w:val="28"/>
          <w:szCs w:val="28"/>
        </w:rPr>
      </w:pPr>
      <w:r>
        <w:rPr>
          <w:rFonts w:hint="eastAsia" w:ascii="仿宋" w:hAnsi="仿宋" w:eastAsia="仿宋" w:cs="仿宋"/>
          <w:b/>
          <w:color w:val="000000"/>
          <w:spacing w:val="5"/>
          <w:sz w:val="28"/>
          <w:szCs w:val="28"/>
        </w:rPr>
        <w:t>生产生活附属用房</w:t>
      </w:r>
      <w:r>
        <w:rPr>
          <w:rFonts w:hint="eastAsia" w:ascii="仿宋" w:hAnsi="仿宋" w:eastAsia="仿宋" w:cs="仿宋"/>
          <w:b/>
          <w:bCs/>
          <w:kern w:val="0"/>
          <w:sz w:val="28"/>
          <w:szCs w:val="28"/>
        </w:rPr>
        <w:t>补偿标准表</w:t>
      </w:r>
    </w:p>
    <w:tbl>
      <w:tblPr>
        <w:tblStyle w:val="8"/>
        <w:tblW w:w="9240" w:type="dxa"/>
        <w:tblInd w:w="0" w:type="dxa"/>
        <w:tblBorders>
          <w:top w:val="none" w:color="auto" w:sz="0" w:space="0"/>
          <w:left w:val="none" w:color="auto" w:sz="0" w:space="0"/>
          <w:bottom w:val="single" w:color="D6D6D6" w:sz="6" w:space="0"/>
          <w:right w:val="single" w:color="D6D6D6"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69"/>
        <w:gridCol w:w="3088"/>
        <w:gridCol w:w="1035"/>
        <w:gridCol w:w="1485"/>
        <w:gridCol w:w="2863"/>
      </w:tblGrid>
      <w:tr>
        <w:tblPrEx>
          <w:tblBorders>
            <w:top w:val="none" w:color="auto" w:sz="0" w:space="0"/>
            <w:left w:val="none" w:color="auto" w:sz="0" w:space="0"/>
            <w:bottom w:val="single" w:color="D6D6D6" w:sz="6" w:space="0"/>
            <w:right w:val="single" w:color="D6D6D6" w:sz="6" w:space="0"/>
            <w:insideH w:val="none" w:color="auto" w:sz="0" w:space="0"/>
            <w:insideV w:val="none" w:color="auto" w:sz="0" w:space="0"/>
          </w:tblBorders>
          <w:shd w:val="clear" w:color="auto" w:fill="FFFFFF"/>
          <w:tblCellMar>
            <w:top w:w="0" w:type="dxa"/>
            <w:left w:w="0" w:type="dxa"/>
            <w:bottom w:w="0" w:type="dxa"/>
            <w:right w:w="0" w:type="dxa"/>
          </w:tblCellMar>
        </w:tblPrEx>
        <w:trPr>
          <w:trHeight w:val="830" w:hRule="atLeast"/>
        </w:trPr>
        <w:tc>
          <w:tcPr>
            <w:tcW w:w="769"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b/>
                <w:bCs/>
                <w:color w:val="000000"/>
                <w:kern w:val="0"/>
                <w:sz w:val="24"/>
                <w:szCs w:val="24"/>
                <w:lang w:val="en-US" w:eastAsia="zh-CN"/>
              </w:rPr>
            </w:pPr>
            <w:r>
              <w:rPr>
                <w:rFonts w:hint="eastAsia" w:ascii="仿宋" w:hAnsi="仿宋" w:eastAsia="仿宋" w:cs="仿宋"/>
                <w:b/>
                <w:bCs/>
                <w:color w:val="000000"/>
                <w:kern w:val="0"/>
                <w:sz w:val="24"/>
                <w:szCs w:val="24"/>
                <w:lang w:val="en-US" w:eastAsia="zh-CN"/>
              </w:rPr>
              <w:t>序号</w:t>
            </w:r>
          </w:p>
        </w:tc>
        <w:tc>
          <w:tcPr>
            <w:tcW w:w="3088"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b/>
                <w:bCs/>
                <w:color w:val="000000"/>
                <w:kern w:val="0"/>
                <w:sz w:val="24"/>
                <w:szCs w:val="24"/>
                <w:lang w:val="en-US" w:eastAsia="zh-CN"/>
              </w:rPr>
            </w:pPr>
            <w:r>
              <w:rPr>
                <w:rFonts w:hint="eastAsia" w:ascii="仿宋" w:hAnsi="仿宋" w:eastAsia="仿宋" w:cs="仿宋"/>
                <w:b/>
                <w:bCs/>
                <w:color w:val="000000"/>
                <w:kern w:val="0"/>
                <w:sz w:val="24"/>
                <w:szCs w:val="24"/>
                <w:lang w:val="en-US" w:eastAsia="zh-CN"/>
              </w:rPr>
              <w:t>项目名称</w:t>
            </w:r>
          </w:p>
        </w:tc>
        <w:tc>
          <w:tcPr>
            <w:tcW w:w="103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b/>
                <w:bCs/>
                <w:color w:val="000000"/>
                <w:kern w:val="0"/>
                <w:sz w:val="24"/>
                <w:szCs w:val="24"/>
                <w:lang w:val="en-US" w:eastAsia="zh-CN"/>
              </w:rPr>
            </w:pPr>
            <w:r>
              <w:rPr>
                <w:rFonts w:hint="eastAsia" w:ascii="仿宋" w:hAnsi="仿宋" w:eastAsia="仿宋" w:cs="仿宋"/>
                <w:b/>
                <w:bCs/>
                <w:color w:val="000000"/>
                <w:kern w:val="0"/>
                <w:sz w:val="24"/>
                <w:szCs w:val="24"/>
                <w:lang w:val="en-US" w:eastAsia="zh-CN"/>
              </w:rPr>
              <w:t>单位</w:t>
            </w:r>
          </w:p>
        </w:tc>
        <w:tc>
          <w:tcPr>
            <w:tcW w:w="148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b/>
                <w:bCs/>
                <w:color w:val="000000"/>
                <w:kern w:val="0"/>
                <w:sz w:val="24"/>
                <w:szCs w:val="24"/>
                <w:lang w:val="en-US" w:eastAsia="zh-CN"/>
              </w:rPr>
            </w:pPr>
            <w:r>
              <w:rPr>
                <w:rFonts w:hint="eastAsia" w:ascii="仿宋" w:hAnsi="仿宋" w:eastAsia="仿宋" w:cs="仿宋"/>
                <w:b/>
                <w:bCs/>
                <w:color w:val="000000"/>
                <w:kern w:val="0"/>
                <w:sz w:val="24"/>
                <w:szCs w:val="24"/>
                <w:lang w:val="en-US" w:eastAsia="zh-CN"/>
              </w:rPr>
              <w:t>单价（元）</w:t>
            </w:r>
          </w:p>
        </w:tc>
        <w:tc>
          <w:tcPr>
            <w:tcW w:w="286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b/>
                <w:bCs/>
                <w:color w:val="000000"/>
                <w:kern w:val="0"/>
                <w:sz w:val="24"/>
                <w:szCs w:val="24"/>
                <w:lang w:val="en-US" w:eastAsia="zh-CN"/>
              </w:rPr>
            </w:pPr>
            <w:r>
              <w:rPr>
                <w:rFonts w:hint="eastAsia" w:ascii="仿宋" w:hAnsi="仿宋" w:eastAsia="仿宋" w:cs="仿宋"/>
                <w:b/>
                <w:bCs/>
                <w:color w:val="000000"/>
                <w:kern w:val="0"/>
                <w:sz w:val="24"/>
                <w:szCs w:val="24"/>
                <w:lang w:val="en-US" w:eastAsia="zh-CN"/>
              </w:rPr>
              <w:t>备 注</w:t>
            </w:r>
          </w:p>
        </w:tc>
      </w:tr>
      <w:tr>
        <w:tblPrEx>
          <w:tblBorders>
            <w:top w:val="none" w:color="auto" w:sz="0" w:space="0"/>
            <w:left w:val="none" w:color="auto" w:sz="0" w:space="0"/>
            <w:bottom w:val="single" w:color="D6D6D6" w:sz="6" w:space="0"/>
            <w:right w:val="single" w:color="D6D6D6" w:sz="6" w:space="0"/>
            <w:insideH w:val="none" w:color="auto" w:sz="0" w:space="0"/>
            <w:insideV w:val="none" w:color="auto" w:sz="0" w:space="0"/>
          </w:tblBorders>
          <w:shd w:val="clear" w:color="auto" w:fill="FFFFFF"/>
          <w:tblCellMar>
            <w:top w:w="0" w:type="dxa"/>
            <w:left w:w="0" w:type="dxa"/>
            <w:bottom w:w="0" w:type="dxa"/>
            <w:right w:w="0" w:type="dxa"/>
          </w:tblCellMar>
        </w:tblPrEx>
        <w:tc>
          <w:tcPr>
            <w:tcW w:w="769"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3088"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bCs/>
                <w:color w:val="000000"/>
                <w:sz w:val="24"/>
                <w:szCs w:val="24"/>
              </w:rPr>
              <w:t>砖墙铁皮房</w:t>
            </w:r>
          </w:p>
        </w:tc>
        <w:tc>
          <w:tcPr>
            <w:tcW w:w="103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w:t>
            </w:r>
          </w:p>
        </w:tc>
        <w:tc>
          <w:tcPr>
            <w:tcW w:w="148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500</w:t>
            </w:r>
          </w:p>
        </w:tc>
        <w:tc>
          <w:tcPr>
            <w:tcW w:w="286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层高低于2.2米，内外墙抹灰，水泥地面</w:t>
            </w:r>
          </w:p>
        </w:tc>
      </w:tr>
      <w:tr>
        <w:tblPrEx>
          <w:tblBorders>
            <w:top w:val="none" w:color="auto" w:sz="0" w:space="0"/>
            <w:left w:val="none" w:color="auto" w:sz="0" w:space="0"/>
            <w:bottom w:val="single" w:color="D6D6D6" w:sz="6" w:space="0"/>
            <w:right w:val="single" w:color="D6D6D6" w:sz="6" w:space="0"/>
            <w:insideH w:val="none" w:color="auto" w:sz="0" w:space="0"/>
            <w:insideV w:val="none" w:color="auto" w:sz="0" w:space="0"/>
          </w:tblBorders>
          <w:shd w:val="clear" w:color="auto" w:fill="FFFFFF"/>
          <w:tblCellMar>
            <w:top w:w="0" w:type="dxa"/>
            <w:left w:w="0" w:type="dxa"/>
            <w:bottom w:w="0" w:type="dxa"/>
            <w:right w:w="0" w:type="dxa"/>
          </w:tblCellMar>
        </w:tblPrEx>
        <w:tc>
          <w:tcPr>
            <w:tcW w:w="769"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3088"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bCs/>
                <w:color w:val="000000"/>
                <w:sz w:val="24"/>
                <w:szCs w:val="24"/>
              </w:rPr>
              <w:t>简易房</w:t>
            </w:r>
          </w:p>
        </w:tc>
        <w:tc>
          <w:tcPr>
            <w:tcW w:w="103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w:t>
            </w:r>
          </w:p>
        </w:tc>
        <w:tc>
          <w:tcPr>
            <w:tcW w:w="148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350</w:t>
            </w:r>
          </w:p>
        </w:tc>
        <w:tc>
          <w:tcPr>
            <w:tcW w:w="286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简易棚房、灰间、杂物间、栏舍</w:t>
            </w:r>
          </w:p>
        </w:tc>
      </w:tr>
      <w:tr>
        <w:tblPrEx>
          <w:tblBorders>
            <w:top w:val="none" w:color="auto" w:sz="0" w:space="0"/>
            <w:left w:val="none" w:color="auto" w:sz="0" w:space="0"/>
            <w:bottom w:val="single" w:color="D6D6D6" w:sz="6" w:space="0"/>
            <w:right w:val="single" w:color="D6D6D6" w:sz="6" w:space="0"/>
            <w:insideH w:val="none" w:color="auto" w:sz="0" w:space="0"/>
            <w:insideV w:val="none" w:color="auto" w:sz="0" w:space="0"/>
          </w:tblBorders>
          <w:shd w:val="clear" w:color="auto" w:fill="FFFFFF"/>
          <w:tblCellMar>
            <w:top w:w="0" w:type="dxa"/>
            <w:left w:w="0" w:type="dxa"/>
            <w:bottom w:w="0" w:type="dxa"/>
            <w:right w:w="0" w:type="dxa"/>
          </w:tblCellMar>
        </w:tblPrEx>
        <w:tc>
          <w:tcPr>
            <w:tcW w:w="769"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3088"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bCs/>
                <w:color w:val="000000"/>
                <w:sz w:val="24"/>
                <w:szCs w:val="24"/>
              </w:rPr>
              <w:t>铁皮棚</w:t>
            </w:r>
          </w:p>
        </w:tc>
        <w:tc>
          <w:tcPr>
            <w:tcW w:w="103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w:t>
            </w:r>
          </w:p>
        </w:tc>
        <w:tc>
          <w:tcPr>
            <w:tcW w:w="148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w:t>
            </w:r>
          </w:p>
        </w:tc>
        <w:tc>
          <w:tcPr>
            <w:tcW w:w="286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szCs w:val="24"/>
                <w:lang w:val="en-US" w:eastAsia="zh-CN"/>
              </w:rPr>
            </w:pPr>
          </w:p>
        </w:tc>
      </w:tr>
      <w:tr>
        <w:tblPrEx>
          <w:tblBorders>
            <w:top w:val="none" w:color="auto" w:sz="0" w:space="0"/>
            <w:left w:val="none" w:color="auto" w:sz="0" w:space="0"/>
            <w:bottom w:val="single" w:color="D6D6D6" w:sz="6" w:space="0"/>
            <w:right w:val="single" w:color="D6D6D6" w:sz="6" w:space="0"/>
            <w:insideH w:val="none" w:color="auto" w:sz="0" w:space="0"/>
            <w:insideV w:val="none" w:color="auto" w:sz="0" w:space="0"/>
          </w:tblBorders>
          <w:shd w:val="clear" w:color="auto" w:fill="FFFFFF"/>
          <w:tblCellMar>
            <w:top w:w="0" w:type="dxa"/>
            <w:left w:w="0" w:type="dxa"/>
            <w:bottom w:w="0" w:type="dxa"/>
            <w:right w:w="0" w:type="dxa"/>
          </w:tblCellMar>
        </w:tblPrEx>
        <w:tc>
          <w:tcPr>
            <w:tcW w:w="769"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4</w:t>
            </w:r>
          </w:p>
        </w:tc>
        <w:tc>
          <w:tcPr>
            <w:tcW w:w="3088"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szCs w:val="24"/>
                <w:lang w:val="en-US" w:eastAsia="zh-CN"/>
              </w:rPr>
            </w:pPr>
            <w:r>
              <w:rPr>
                <w:rFonts w:hint="eastAsia" w:ascii="仿宋" w:hAnsi="仿宋" w:eastAsia="仿宋"/>
                <w:bCs/>
                <w:color w:val="000000"/>
                <w:sz w:val="24"/>
                <w:szCs w:val="24"/>
              </w:rPr>
              <w:t>标准养殖场</w:t>
            </w:r>
          </w:p>
        </w:tc>
        <w:tc>
          <w:tcPr>
            <w:tcW w:w="103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w:t>
            </w:r>
          </w:p>
        </w:tc>
        <w:tc>
          <w:tcPr>
            <w:tcW w:w="1485" w:type="dxa"/>
            <w:tcBorders>
              <w:top w:val="single" w:color="000000" w:sz="6" w:space="0"/>
              <w:left w:val="single" w:color="000000" w:sz="6" w:space="0"/>
              <w:bottom w:val="single" w:color="000000" w:sz="6" w:space="0"/>
              <w:right w:val="nil"/>
            </w:tcBorders>
            <w:shd w:val="clear" w:color="auto" w:fill="FFFFFF"/>
            <w:tcMar>
              <w:top w:w="75" w:type="dxa"/>
              <w:left w:w="150" w:type="dxa"/>
              <w:bottom w:w="75" w:type="dxa"/>
              <w:right w:w="150" w:type="dxa"/>
            </w:tcMar>
            <w:vAlign w:val="center"/>
          </w:tcPr>
          <w:p>
            <w:pPr>
              <w:widowControl/>
              <w:spacing w:line="400" w:lineRule="exact"/>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800</w:t>
            </w:r>
          </w:p>
        </w:tc>
        <w:tc>
          <w:tcPr>
            <w:tcW w:w="286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widowControl/>
              <w:spacing w:line="240" w:lineRule="auto"/>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通水电、排水排污等设施齐全</w:t>
            </w:r>
          </w:p>
        </w:tc>
      </w:tr>
    </w:tbl>
    <w:p>
      <w:pPr>
        <w:numPr>
          <w:ilvl w:val="0"/>
          <w:numId w:val="0"/>
        </w:numPr>
        <w:autoSpaceDE w:val="0"/>
        <w:autoSpaceDN w:val="0"/>
        <w:adjustRightInd w:val="0"/>
        <w:spacing w:after="156" w:line="360" w:lineRule="auto"/>
        <w:ind w:leftChars="0"/>
        <w:jc w:val="left"/>
        <w:rPr>
          <w:rFonts w:hint="eastAsia" w:ascii="仿宋" w:hAnsi="仿宋" w:eastAsia="仿宋" w:cs="仿宋"/>
          <w:b/>
          <w:bCs/>
          <w:kern w:val="0"/>
          <w:sz w:val="28"/>
          <w:szCs w:val="28"/>
          <w:lang w:val="zh-CN"/>
        </w:rPr>
      </w:pPr>
      <w:r>
        <w:rPr>
          <w:rFonts w:hint="eastAsia" w:ascii="仿宋" w:hAnsi="仿宋" w:eastAsia="仿宋" w:cs="仿宋"/>
          <w:b/>
          <w:bCs/>
          <w:kern w:val="0"/>
          <w:sz w:val="28"/>
          <w:szCs w:val="28"/>
          <w:lang w:val="en-US" w:eastAsia="zh-CN"/>
        </w:rPr>
        <w:t>5.</w:t>
      </w:r>
      <w:r>
        <w:rPr>
          <w:rFonts w:hint="eastAsia" w:ascii="仿宋" w:hAnsi="仿宋" w:eastAsia="仿宋" w:cs="仿宋"/>
          <w:b/>
          <w:bCs/>
          <w:kern w:val="0"/>
          <w:sz w:val="28"/>
          <w:szCs w:val="28"/>
        </w:rPr>
        <w:t>构筑物及附属设施补偿标准</w:t>
      </w:r>
    </w:p>
    <w:tbl>
      <w:tblPr>
        <w:tblStyle w:val="8"/>
        <w:tblpPr w:leftFromText="180" w:rightFromText="180" w:vertAnchor="text" w:horzAnchor="page" w:tblpXSpec="center" w:tblpY="51"/>
        <w:tblOverlap w:val="never"/>
        <w:tblW w:w="8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2825"/>
        <w:gridCol w:w="978"/>
        <w:gridCol w:w="1580"/>
        <w:gridCol w:w="2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序号</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项目名称</w:t>
            </w:r>
          </w:p>
        </w:tc>
        <w:tc>
          <w:tcPr>
            <w:tcW w:w="978"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单位</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单价（元）</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1</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晒坪</w:t>
            </w:r>
          </w:p>
        </w:tc>
        <w:tc>
          <w:tcPr>
            <w:tcW w:w="978"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zh-CN" w:eastAsia="zh-CN"/>
              </w:rPr>
              <w:t>㎡</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80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2</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水泥地坪</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zh-CN" w:eastAsia="zh-CN"/>
              </w:rPr>
            </w:pPr>
            <w:r>
              <w:rPr>
                <w:rFonts w:hint="eastAsia" w:ascii="仿宋" w:hAnsi="仿宋" w:eastAsia="仿宋" w:cs="宋体"/>
                <w:snapToGrid/>
                <w:color w:val="000000"/>
                <w:sz w:val="24"/>
                <w:szCs w:val="24"/>
              </w:rPr>
              <w:t>㎡</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100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3</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毛石挡土墙</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zh-CN" w:eastAsia="zh-CN"/>
              </w:rPr>
              <w:t>m³</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350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4</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单砖围墙（未批档）</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zh-CN" w:eastAsia="zh-CN"/>
              </w:rPr>
              <w:t>㎡</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130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5</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单砖围墙（已批档）</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zh-CN" w:eastAsia="zh-CN"/>
              </w:rPr>
              <w:t>㎡</w:t>
            </w:r>
          </w:p>
        </w:tc>
        <w:tc>
          <w:tcPr>
            <w:tcW w:w="1580" w:type="dxa"/>
            <w:vAlign w:val="center"/>
          </w:tcPr>
          <w:p>
            <w:pPr>
              <w:widowControl/>
              <w:spacing w:line="400" w:lineRule="exact"/>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150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6</w:t>
            </w:r>
          </w:p>
        </w:tc>
        <w:tc>
          <w:tcPr>
            <w:tcW w:w="2825" w:type="dxa"/>
            <w:vAlign w:val="center"/>
          </w:tcPr>
          <w:p>
            <w:pPr>
              <w:widowControl/>
              <w:spacing w:line="400" w:lineRule="exact"/>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（18墙）围墙（未批档）</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zh-CN" w:eastAsia="zh-CN"/>
              </w:rPr>
              <w:t>㎡</w:t>
            </w:r>
          </w:p>
        </w:tc>
        <w:tc>
          <w:tcPr>
            <w:tcW w:w="1580" w:type="dxa"/>
            <w:vAlign w:val="center"/>
          </w:tcPr>
          <w:p>
            <w:pPr>
              <w:widowControl/>
              <w:spacing w:line="400" w:lineRule="exact"/>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180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szCs w:val="22"/>
                <w:lang w:val="en-US" w:eastAsia="zh-CN" w:bidi="ar-SA"/>
              </w:rPr>
            </w:pPr>
            <w:r>
              <w:rPr>
                <w:rFonts w:hint="eastAsia" w:ascii="宋体" w:hAnsi="宋体" w:eastAsia="宋体" w:cs="宋体"/>
                <w:i w:val="0"/>
                <w:iCs w:val="0"/>
                <w:color w:val="000000"/>
                <w:kern w:val="0"/>
                <w:sz w:val="21"/>
                <w:szCs w:val="21"/>
                <w:u w:val="none"/>
                <w:lang w:val="en-US" w:eastAsia="zh-CN" w:bidi="ar"/>
              </w:rPr>
              <w:t>7</w:t>
            </w:r>
          </w:p>
        </w:tc>
        <w:tc>
          <w:tcPr>
            <w:tcW w:w="2825" w:type="dxa"/>
            <w:vAlign w:val="center"/>
          </w:tcPr>
          <w:p>
            <w:pPr>
              <w:widowControl/>
              <w:spacing w:line="400" w:lineRule="exact"/>
              <w:jc w:val="center"/>
              <w:rPr>
                <w:rFonts w:hint="eastAsia" w:ascii="仿宋" w:hAnsi="仿宋" w:eastAsia="仿宋" w:cs="仿宋"/>
                <w:color w:val="000000"/>
                <w:kern w:val="0"/>
                <w:sz w:val="24"/>
                <w:szCs w:val="22"/>
                <w:lang w:val="en-US" w:eastAsia="zh-CN" w:bidi="ar-SA"/>
              </w:rPr>
            </w:pPr>
            <w:r>
              <w:rPr>
                <w:rFonts w:hint="eastAsia" w:ascii="仿宋" w:hAnsi="仿宋" w:eastAsia="仿宋" w:cs="仿宋"/>
                <w:color w:val="000000"/>
                <w:kern w:val="0"/>
                <w:sz w:val="24"/>
                <w:lang w:val="en-US" w:eastAsia="zh-CN"/>
              </w:rPr>
              <w:t>（18墙）围墙（已批档）</w:t>
            </w:r>
          </w:p>
        </w:tc>
        <w:tc>
          <w:tcPr>
            <w:tcW w:w="978" w:type="dxa"/>
            <w:vAlign w:val="center"/>
          </w:tcPr>
          <w:p>
            <w:pPr>
              <w:widowControl/>
              <w:spacing w:line="400" w:lineRule="exact"/>
              <w:jc w:val="center"/>
              <w:rPr>
                <w:rFonts w:hint="eastAsia" w:ascii="仿宋" w:hAnsi="仿宋" w:eastAsia="仿宋" w:cs="仿宋"/>
                <w:color w:val="000000"/>
                <w:kern w:val="0"/>
                <w:sz w:val="24"/>
                <w:szCs w:val="22"/>
                <w:lang w:val="zh-CN" w:eastAsia="zh-CN" w:bidi="ar-SA"/>
              </w:rPr>
            </w:pPr>
            <w:r>
              <w:rPr>
                <w:rFonts w:hint="eastAsia" w:ascii="仿宋" w:hAnsi="仿宋" w:eastAsia="仿宋" w:cs="仿宋"/>
                <w:color w:val="000000"/>
                <w:kern w:val="0"/>
                <w:sz w:val="24"/>
                <w:lang w:val="zh-CN" w:eastAsia="zh-CN"/>
              </w:rPr>
              <w:t>㎡</w:t>
            </w:r>
          </w:p>
        </w:tc>
        <w:tc>
          <w:tcPr>
            <w:tcW w:w="1580" w:type="dxa"/>
            <w:vAlign w:val="center"/>
          </w:tcPr>
          <w:p>
            <w:pPr>
              <w:widowControl/>
              <w:spacing w:line="400" w:lineRule="exact"/>
              <w:jc w:val="center"/>
              <w:rPr>
                <w:rFonts w:hint="default" w:ascii="仿宋" w:hAnsi="仿宋" w:eastAsia="仿宋" w:cs="仿宋"/>
                <w:color w:val="000000"/>
                <w:kern w:val="0"/>
                <w:sz w:val="24"/>
                <w:szCs w:val="22"/>
                <w:lang w:val="en-US" w:eastAsia="zh-CN" w:bidi="ar-SA"/>
              </w:rPr>
            </w:pPr>
            <w:r>
              <w:rPr>
                <w:rFonts w:hint="eastAsia" w:ascii="仿宋" w:hAnsi="仿宋" w:eastAsia="仿宋" w:cs="仿宋"/>
                <w:color w:val="000000"/>
                <w:kern w:val="0"/>
                <w:sz w:val="24"/>
                <w:lang w:val="en-US" w:eastAsia="zh-CN"/>
              </w:rPr>
              <w:t>200</w:t>
            </w:r>
          </w:p>
        </w:tc>
        <w:tc>
          <w:tcPr>
            <w:tcW w:w="2530" w:type="dxa"/>
            <w:vAlign w:val="center"/>
          </w:tcPr>
          <w:p>
            <w:pPr>
              <w:widowControl/>
              <w:spacing w:line="400" w:lineRule="exact"/>
              <w:jc w:val="center"/>
              <w:rPr>
                <w:rFonts w:hint="eastAsia" w:ascii="仿宋" w:hAnsi="仿宋" w:eastAsia="仿宋" w:cs="仿宋"/>
                <w:color w:val="000000"/>
                <w:kern w:val="0"/>
                <w:sz w:val="24"/>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8</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（24墙）围墙（未批档）</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zh-CN" w:eastAsia="zh-CN"/>
              </w:rPr>
              <w:t>㎡</w:t>
            </w:r>
          </w:p>
        </w:tc>
        <w:tc>
          <w:tcPr>
            <w:tcW w:w="1580" w:type="dxa"/>
            <w:vAlign w:val="center"/>
          </w:tcPr>
          <w:p>
            <w:pPr>
              <w:widowControl/>
              <w:spacing w:line="400" w:lineRule="exact"/>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230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9</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（24墙）围墙（已批档）</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zh-CN" w:eastAsia="zh-CN"/>
              </w:rPr>
              <w:t>㎡</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260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10</w:t>
            </w:r>
          </w:p>
        </w:tc>
        <w:tc>
          <w:tcPr>
            <w:tcW w:w="2825" w:type="dxa"/>
            <w:vAlign w:val="center"/>
          </w:tcPr>
          <w:p>
            <w:pPr>
              <w:widowControl/>
              <w:spacing w:line="400" w:lineRule="exact"/>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压墙</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zh-CN" w:eastAsia="zh-CN"/>
              </w:rPr>
              <w:t>㎡</w:t>
            </w:r>
          </w:p>
        </w:tc>
        <w:tc>
          <w:tcPr>
            <w:tcW w:w="1580" w:type="dxa"/>
            <w:vAlign w:val="center"/>
          </w:tcPr>
          <w:p>
            <w:pPr>
              <w:widowControl/>
              <w:spacing w:line="400" w:lineRule="exact"/>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200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11</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混凝土道路（220mm厚）</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200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12</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混凝土道路（150mm厚）</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zh-CN" w:eastAsia="zh-CN"/>
              </w:rPr>
            </w:pPr>
            <w:r>
              <w:rPr>
                <w:rFonts w:hint="eastAsia" w:ascii="仿宋" w:hAnsi="仿宋" w:eastAsia="仿宋" w:cs="宋体"/>
                <w:snapToGrid/>
                <w:color w:val="000000"/>
                <w:sz w:val="24"/>
                <w:szCs w:val="24"/>
              </w:rPr>
              <w:t>㎡</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160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13</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混凝土道路（100mm厚）</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zh-CN" w:eastAsia="zh-CN"/>
              </w:rPr>
            </w:pPr>
            <w:r>
              <w:rPr>
                <w:rFonts w:hint="eastAsia" w:ascii="仿宋" w:hAnsi="仿宋" w:eastAsia="仿宋" w:cs="宋体"/>
                <w:snapToGrid/>
                <w:color w:val="000000"/>
                <w:sz w:val="24"/>
                <w:szCs w:val="24"/>
              </w:rPr>
              <w:t>㎡</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125</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14</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500#混凝土</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zh-CN" w:eastAsia="zh-CN"/>
              </w:rPr>
              <w:t>m³</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600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15</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架线费</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m</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50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三相四线含线杆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16</w:t>
            </w:r>
          </w:p>
        </w:tc>
        <w:tc>
          <w:tcPr>
            <w:tcW w:w="2825"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泥堤坝</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m³</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15</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17</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普通水井（按容积计）</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zh-CN" w:eastAsia="zh-CN"/>
              </w:rPr>
            </w:pPr>
            <w:r>
              <w:rPr>
                <w:rFonts w:hint="eastAsia" w:ascii="仿宋" w:hAnsi="仿宋" w:eastAsia="仿宋" w:cs="宋体"/>
                <w:snapToGrid/>
                <w:color w:val="000000"/>
                <w:sz w:val="24"/>
                <w:szCs w:val="24"/>
              </w:rPr>
              <w:t>m</w:t>
            </w:r>
            <w:r>
              <w:rPr>
                <w:rFonts w:hint="eastAsia" w:ascii="宋体" w:hAnsi="宋体" w:eastAsia="宋体" w:cs="宋体"/>
                <w:snapToGrid/>
                <w:color w:val="000000"/>
                <w:sz w:val="24"/>
                <w:szCs w:val="24"/>
              </w:rPr>
              <w:t>³</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475</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18</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泥井（限5m</w:t>
            </w:r>
            <w:r>
              <w:rPr>
                <w:rFonts w:hint="eastAsia" w:ascii="宋体" w:hAnsi="宋体" w:eastAsia="宋体" w:cs="宋体"/>
                <w:snapToGrid/>
                <w:color w:val="000000"/>
                <w:sz w:val="24"/>
                <w:szCs w:val="24"/>
              </w:rPr>
              <w:t>³</w:t>
            </w:r>
            <w:r>
              <w:rPr>
                <w:rFonts w:hint="eastAsia" w:ascii="仿宋" w:hAnsi="仿宋" w:eastAsia="仿宋" w:cs="宋体"/>
                <w:snapToGrid/>
                <w:color w:val="000000"/>
                <w:sz w:val="24"/>
                <w:szCs w:val="24"/>
              </w:rPr>
              <w:t>以内）</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m</w:t>
            </w:r>
            <w:r>
              <w:rPr>
                <w:rFonts w:hint="eastAsia" w:ascii="宋体" w:hAnsi="宋体" w:eastAsia="宋体" w:cs="宋体"/>
                <w:snapToGrid/>
                <w:color w:val="000000"/>
                <w:sz w:val="24"/>
                <w:szCs w:val="24"/>
              </w:rPr>
              <w:t>³</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130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19</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水利设施（三面光）</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m</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350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底宽&gt;25cm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20</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门楼（宽2米以内）</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座</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2000</w:t>
            </w:r>
          </w:p>
        </w:tc>
        <w:tc>
          <w:tcPr>
            <w:tcW w:w="2530" w:type="dxa"/>
            <w:vMerge w:val="restart"/>
            <w:vAlign w:val="center"/>
          </w:tcPr>
          <w:p>
            <w:pPr>
              <w:widowControl/>
              <w:spacing w:line="240" w:lineRule="auto"/>
              <w:jc w:val="center"/>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普通门楼标准，外墙瓷砖贴面，特殊工艺、材料、造型以及门匾等另计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21</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门楼（宽2米内、高2米）</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座</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3000</w:t>
            </w:r>
          </w:p>
        </w:tc>
        <w:tc>
          <w:tcPr>
            <w:tcW w:w="2530" w:type="dxa"/>
            <w:vMerge w:val="continue"/>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22</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门楼（宽2.5米内、高2米）</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座</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5000</w:t>
            </w:r>
          </w:p>
        </w:tc>
        <w:tc>
          <w:tcPr>
            <w:tcW w:w="2530" w:type="dxa"/>
            <w:vMerge w:val="continue"/>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23</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门楼（宽3米内、高2米）</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座</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7500</w:t>
            </w:r>
          </w:p>
        </w:tc>
        <w:tc>
          <w:tcPr>
            <w:tcW w:w="2530" w:type="dxa"/>
            <w:vMerge w:val="continue"/>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24</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门楼（宽3米以上、高2米以上）</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座</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10000</w:t>
            </w:r>
          </w:p>
        </w:tc>
        <w:tc>
          <w:tcPr>
            <w:tcW w:w="2530" w:type="dxa"/>
            <w:vMerge w:val="continue"/>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25</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炉灶（水泥砂浆面）</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zh-CN" w:eastAsia="zh-CN"/>
              </w:rPr>
            </w:pPr>
            <w:r>
              <w:rPr>
                <w:rFonts w:hint="eastAsia" w:ascii="仿宋" w:hAnsi="仿宋" w:eastAsia="仿宋" w:cs="宋体"/>
                <w:snapToGrid/>
                <w:color w:val="000000"/>
                <w:sz w:val="24"/>
                <w:szCs w:val="24"/>
              </w:rPr>
              <w:t>套</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1000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26</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炉灶（瓷片贴面）</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套</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2300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27</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炉灶（大理石贴面）</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m</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700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28</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水泥涵管（DN300）</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m</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150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29</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水泥涵管（DN500）</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m</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210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30</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户外水管DN15（PVC）4分管</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zh-CN" w:eastAsia="zh-CN"/>
              </w:rPr>
            </w:pPr>
            <w:r>
              <w:rPr>
                <w:rFonts w:hint="eastAsia" w:ascii="仿宋" w:hAnsi="仿宋" w:eastAsia="仿宋" w:cs="宋体"/>
                <w:snapToGrid/>
                <w:color w:val="000000"/>
                <w:sz w:val="24"/>
                <w:szCs w:val="24"/>
              </w:rPr>
              <w:t>m</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10</w:t>
            </w:r>
          </w:p>
        </w:tc>
        <w:tc>
          <w:tcPr>
            <w:tcW w:w="2530" w:type="dxa"/>
            <w:vMerge w:val="restart"/>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含管件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31</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户外水管DN20（PVC）6分管</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m</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15</w:t>
            </w:r>
          </w:p>
        </w:tc>
        <w:tc>
          <w:tcPr>
            <w:tcW w:w="2530" w:type="dxa"/>
            <w:vMerge w:val="continue"/>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32</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户外水池（砖）</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m³</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300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33</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手摇井</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口</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3000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34</w:t>
            </w:r>
          </w:p>
        </w:tc>
        <w:tc>
          <w:tcPr>
            <w:tcW w:w="2825" w:type="dxa"/>
            <w:vAlign w:val="center"/>
          </w:tcPr>
          <w:p>
            <w:pPr>
              <w:widowControl/>
              <w:spacing w:line="400" w:lineRule="exact"/>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水渠、水沟（砖）</w:t>
            </w:r>
          </w:p>
        </w:tc>
        <w:tc>
          <w:tcPr>
            <w:tcW w:w="978"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m</w:t>
            </w:r>
          </w:p>
        </w:tc>
        <w:tc>
          <w:tcPr>
            <w:tcW w:w="1580" w:type="dxa"/>
            <w:vAlign w:val="center"/>
          </w:tcPr>
          <w:p>
            <w:pPr>
              <w:widowControl/>
              <w:spacing w:line="400" w:lineRule="exact"/>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150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35</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化粪池</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个</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3000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eastAsia"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36</w:t>
            </w:r>
          </w:p>
        </w:tc>
        <w:tc>
          <w:tcPr>
            <w:tcW w:w="2825"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家用沼气池</w:t>
            </w:r>
          </w:p>
        </w:tc>
        <w:tc>
          <w:tcPr>
            <w:tcW w:w="978" w:type="dxa"/>
            <w:vAlign w:val="center"/>
          </w:tcPr>
          <w:p>
            <w:pPr>
              <w:kinsoku/>
              <w:autoSpaceDE/>
              <w:autoSpaceDN/>
              <w:adjustRightInd/>
              <w:snapToGrid/>
              <w:jc w:val="center"/>
              <w:textAlignment w:val="auto"/>
              <w:rPr>
                <w:rFonts w:hint="eastAsia" w:ascii="仿宋" w:hAnsi="仿宋" w:eastAsia="仿宋" w:cs="仿宋"/>
                <w:color w:val="000000"/>
                <w:kern w:val="0"/>
                <w:sz w:val="24"/>
                <w:lang w:val="en-US" w:eastAsia="zh-CN"/>
              </w:rPr>
            </w:pPr>
            <w:r>
              <w:rPr>
                <w:rFonts w:hint="eastAsia" w:ascii="仿宋" w:hAnsi="仿宋" w:eastAsia="仿宋" w:cs="宋体"/>
                <w:snapToGrid/>
                <w:color w:val="000000"/>
                <w:sz w:val="24"/>
                <w:szCs w:val="24"/>
              </w:rPr>
              <w:t>m</w:t>
            </w:r>
            <w:r>
              <w:rPr>
                <w:rFonts w:hint="eastAsia" w:ascii="宋体" w:hAnsi="宋体" w:eastAsia="宋体" w:cs="宋体"/>
                <w:snapToGrid/>
                <w:color w:val="000000"/>
                <w:sz w:val="24"/>
                <w:szCs w:val="24"/>
              </w:rPr>
              <w:t>³</w:t>
            </w:r>
          </w:p>
        </w:tc>
        <w:tc>
          <w:tcPr>
            <w:tcW w:w="1580" w:type="dxa"/>
            <w:vAlign w:val="center"/>
          </w:tcPr>
          <w:p>
            <w:pPr>
              <w:jc w:val="center"/>
              <w:rPr>
                <w:rFonts w:hint="eastAsia" w:ascii="仿宋" w:hAnsi="仿宋" w:eastAsia="仿宋" w:cs="仿宋"/>
                <w:color w:val="000000"/>
                <w:kern w:val="0"/>
                <w:sz w:val="24"/>
                <w:lang w:val="en-US" w:eastAsia="zh-CN"/>
              </w:rPr>
            </w:pPr>
            <w:r>
              <w:rPr>
                <w:rFonts w:hint="eastAsia" w:ascii="仿宋" w:hAnsi="仿宋" w:eastAsia="仿宋"/>
                <w:bCs/>
                <w:color w:val="000000"/>
                <w:sz w:val="24"/>
                <w:szCs w:val="24"/>
              </w:rPr>
              <w:t>475</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37</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空气能、太阳能（家用）</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套</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800</w:t>
            </w:r>
          </w:p>
        </w:tc>
        <w:tc>
          <w:tcPr>
            <w:tcW w:w="2530" w:type="dxa"/>
            <w:vAlign w:val="center"/>
          </w:tcPr>
          <w:p>
            <w:pPr>
              <w:widowControl/>
              <w:spacing w:line="400" w:lineRule="exact"/>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移装费用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38</w:t>
            </w:r>
          </w:p>
        </w:tc>
        <w:tc>
          <w:tcPr>
            <w:tcW w:w="2825" w:type="dxa"/>
            <w:vAlign w:val="center"/>
          </w:tcPr>
          <w:p>
            <w:pPr>
              <w:widowControl/>
              <w:spacing w:line="400" w:lineRule="exact"/>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阶梯砖</w:t>
            </w:r>
          </w:p>
        </w:tc>
        <w:tc>
          <w:tcPr>
            <w:tcW w:w="978"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zh-CN" w:eastAsia="zh-CN"/>
              </w:rPr>
              <w:t>㎡</w:t>
            </w:r>
          </w:p>
        </w:tc>
        <w:tc>
          <w:tcPr>
            <w:tcW w:w="1580" w:type="dxa"/>
            <w:vAlign w:val="center"/>
          </w:tcPr>
          <w:p>
            <w:pPr>
              <w:widowControl/>
              <w:spacing w:line="400" w:lineRule="exact"/>
              <w:jc w:val="center"/>
              <w:rPr>
                <w:rFonts w:hint="default"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150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39</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空调移机补偿</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台</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500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移装费用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0" w:type="dxa"/>
            <w:vAlign w:val="center"/>
          </w:tcPr>
          <w:p>
            <w:pPr>
              <w:keepNext w:val="0"/>
              <w:keepLines w:val="0"/>
              <w:widowControl/>
              <w:suppressLineNumbers w:val="0"/>
              <w:jc w:val="center"/>
              <w:textAlignment w:val="center"/>
              <w:rPr>
                <w:rFonts w:hint="default" w:ascii="仿宋" w:hAnsi="仿宋" w:eastAsia="仿宋" w:cs="仿宋"/>
                <w:color w:val="000000"/>
                <w:kern w:val="0"/>
                <w:sz w:val="24"/>
                <w:lang w:val="en-US" w:eastAsia="zh-CN"/>
              </w:rPr>
            </w:pPr>
            <w:r>
              <w:rPr>
                <w:rFonts w:hint="eastAsia" w:ascii="宋体" w:hAnsi="宋体" w:eastAsia="宋体" w:cs="宋体"/>
                <w:i w:val="0"/>
                <w:iCs w:val="0"/>
                <w:color w:val="000000"/>
                <w:kern w:val="0"/>
                <w:sz w:val="21"/>
                <w:szCs w:val="21"/>
                <w:u w:val="none"/>
                <w:lang w:val="en-US" w:eastAsia="zh-CN" w:bidi="ar"/>
              </w:rPr>
              <w:t>40</w:t>
            </w:r>
          </w:p>
        </w:tc>
        <w:tc>
          <w:tcPr>
            <w:tcW w:w="2825"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广告牌</w:t>
            </w:r>
          </w:p>
        </w:tc>
        <w:tc>
          <w:tcPr>
            <w:tcW w:w="978" w:type="dxa"/>
            <w:vAlign w:val="center"/>
          </w:tcPr>
          <w:p>
            <w:pPr>
              <w:widowControl/>
              <w:spacing w:line="400" w:lineRule="exact"/>
              <w:jc w:val="center"/>
              <w:rPr>
                <w:rFonts w:hint="eastAsia" w:ascii="仿宋" w:hAnsi="仿宋" w:eastAsia="仿宋" w:cs="仿宋"/>
                <w:color w:val="000000"/>
                <w:kern w:val="0"/>
                <w:sz w:val="24"/>
                <w:lang w:val="zh-CN" w:eastAsia="zh-CN"/>
              </w:rPr>
            </w:pPr>
            <w:r>
              <w:rPr>
                <w:rFonts w:hint="eastAsia" w:ascii="仿宋" w:hAnsi="仿宋" w:eastAsia="仿宋" w:cs="仿宋"/>
                <w:color w:val="000000"/>
                <w:kern w:val="0"/>
                <w:sz w:val="24"/>
                <w:lang w:val="en-US" w:eastAsia="zh-CN"/>
              </w:rPr>
              <w:t>㎡</w:t>
            </w:r>
          </w:p>
        </w:tc>
        <w:tc>
          <w:tcPr>
            <w:tcW w:w="1580" w:type="dxa"/>
            <w:vAlign w:val="center"/>
          </w:tcPr>
          <w:p>
            <w:pPr>
              <w:widowControl/>
              <w:spacing w:line="400" w:lineRule="exact"/>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150-350</w:t>
            </w:r>
          </w:p>
        </w:tc>
        <w:tc>
          <w:tcPr>
            <w:tcW w:w="2530" w:type="dxa"/>
            <w:vAlign w:val="center"/>
          </w:tcPr>
          <w:p>
            <w:pPr>
              <w:widowControl/>
              <w:spacing w:line="400" w:lineRule="exact"/>
              <w:jc w:val="center"/>
              <w:rPr>
                <w:rFonts w:hint="eastAsia" w:ascii="仿宋" w:hAnsi="仿宋" w:eastAsia="仿宋" w:cs="仿宋"/>
                <w:color w:val="000000"/>
                <w:kern w:val="0"/>
                <w:sz w:val="24"/>
                <w:lang w:val="en-US" w:eastAsia="zh-CN"/>
              </w:rPr>
            </w:pPr>
          </w:p>
        </w:tc>
      </w:tr>
    </w:tbl>
    <w:p>
      <w:pPr>
        <w:autoSpaceDE w:val="0"/>
        <w:autoSpaceDN w:val="0"/>
        <w:adjustRightInd w:val="0"/>
        <w:spacing w:after="156" w:line="360" w:lineRule="auto"/>
        <w:rPr>
          <w:rFonts w:hint="eastAsia" w:ascii="仿宋" w:hAnsi="仿宋" w:eastAsia="仿宋" w:cs="仿宋"/>
          <w:snapToGrid w:val="0"/>
          <w:kern w:val="0"/>
          <w:sz w:val="24"/>
          <w:szCs w:val="24"/>
        </w:rPr>
      </w:pPr>
      <w:r>
        <w:rPr>
          <w:rFonts w:hint="eastAsia" w:ascii="仿宋" w:hAnsi="仿宋" w:eastAsia="仿宋" w:cs="仿宋"/>
          <w:snapToGrid w:val="0"/>
          <w:kern w:val="0"/>
          <w:sz w:val="24"/>
          <w:szCs w:val="24"/>
        </w:rPr>
        <w:t>备注：</w:t>
      </w:r>
      <w:r>
        <w:rPr>
          <w:rFonts w:hint="eastAsia" w:ascii="仿宋" w:hAnsi="仿宋" w:eastAsia="仿宋" w:cs="仿宋"/>
          <w:color w:val="000000"/>
          <w:sz w:val="24"/>
          <w:szCs w:val="24"/>
        </w:rPr>
        <w:t>上述各项</w:t>
      </w:r>
      <w:r>
        <w:rPr>
          <w:rFonts w:hint="eastAsia" w:ascii="仿宋" w:hAnsi="仿宋" w:eastAsia="仿宋" w:cs="仿宋"/>
          <w:color w:val="000000"/>
          <w:sz w:val="24"/>
          <w:szCs w:val="24"/>
          <w:lang w:val="en-US" w:eastAsia="zh-CN"/>
        </w:rPr>
        <w:t>补偿单价</w:t>
      </w:r>
      <w:r>
        <w:rPr>
          <w:rFonts w:hint="eastAsia" w:ascii="仿宋" w:hAnsi="仿宋" w:eastAsia="仿宋" w:cs="仿宋"/>
          <w:color w:val="000000"/>
          <w:sz w:val="24"/>
          <w:szCs w:val="24"/>
        </w:rPr>
        <w:t>均包含</w:t>
      </w:r>
      <w:r>
        <w:rPr>
          <w:rFonts w:hint="eastAsia" w:ascii="仿宋" w:hAnsi="仿宋" w:eastAsia="仿宋" w:cs="仿宋"/>
          <w:kern w:val="0"/>
          <w:sz w:val="24"/>
          <w:szCs w:val="24"/>
          <w:lang w:val="zh-CN"/>
        </w:rPr>
        <w:t>人工、材料、</w:t>
      </w:r>
      <w:r>
        <w:rPr>
          <w:rFonts w:hint="eastAsia" w:ascii="仿宋" w:hAnsi="仿宋" w:eastAsia="仿宋" w:cs="仿宋"/>
          <w:kern w:val="0"/>
          <w:sz w:val="24"/>
          <w:szCs w:val="24"/>
          <w:lang w:val="en-US" w:eastAsia="zh-CN"/>
        </w:rPr>
        <w:t>辅料、</w:t>
      </w:r>
      <w:r>
        <w:rPr>
          <w:rFonts w:hint="eastAsia" w:ascii="仿宋" w:hAnsi="仿宋" w:eastAsia="仿宋" w:cs="仿宋"/>
          <w:kern w:val="0"/>
          <w:sz w:val="24"/>
          <w:szCs w:val="24"/>
          <w:lang w:val="zh-CN"/>
        </w:rPr>
        <w:t>机械设备费用</w:t>
      </w:r>
      <w:r>
        <w:rPr>
          <w:rFonts w:hint="eastAsia" w:ascii="仿宋" w:hAnsi="仿宋" w:eastAsia="仿宋" w:cs="仿宋"/>
          <w:kern w:val="0"/>
          <w:sz w:val="24"/>
          <w:szCs w:val="24"/>
          <w:lang w:val="en-US" w:eastAsia="zh-CN"/>
        </w:rPr>
        <w:t>等造价费用</w:t>
      </w:r>
      <w:r>
        <w:rPr>
          <w:rFonts w:hint="eastAsia" w:ascii="仿宋" w:hAnsi="仿宋" w:eastAsia="仿宋" w:cs="仿宋"/>
          <w:kern w:val="0"/>
          <w:sz w:val="24"/>
          <w:szCs w:val="24"/>
          <w:lang w:val="zh-CN"/>
        </w:rPr>
        <w:t>，</w:t>
      </w:r>
      <w:r>
        <w:rPr>
          <w:rFonts w:hint="eastAsia" w:ascii="仿宋" w:hAnsi="仿宋" w:eastAsia="仿宋" w:cs="仿宋"/>
          <w:snapToGrid w:val="0"/>
          <w:kern w:val="0"/>
          <w:sz w:val="24"/>
          <w:szCs w:val="24"/>
        </w:rPr>
        <w:t>未考虑成新率及扣除折旧。</w:t>
      </w:r>
    </w:p>
    <w:p>
      <w:pPr>
        <w:widowControl/>
        <w:shd w:val="clear" w:color="auto" w:fill="FFFFFF"/>
        <w:spacing w:line="360" w:lineRule="atLeast"/>
        <w:jc w:val="center"/>
        <w:rPr>
          <w:rFonts w:hint="eastAsia" w:ascii="仿宋_GB2312" w:hAnsi="宋体" w:eastAsia="仿宋_GB2312" w:cs="宋体"/>
          <w:b/>
          <w:bCs/>
          <w:color w:val="333333"/>
          <w:kern w:val="0"/>
          <w:sz w:val="44"/>
        </w:rPr>
      </w:pPr>
    </w:p>
    <w:p>
      <w:pPr>
        <w:widowControl/>
        <w:shd w:val="clear" w:color="auto" w:fill="FFFFFF"/>
        <w:spacing w:line="360" w:lineRule="atLeast"/>
        <w:jc w:val="center"/>
        <w:rPr>
          <w:rFonts w:hint="eastAsia" w:ascii="仿宋_GB2312" w:hAnsi="宋体" w:eastAsia="仿宋_GB2312" w:cs="宋体"/>
          <w:b/>
          <w:bCs/>
          <w:color w:val="333333"/>
          <w:kern w:val="0"/>
          <w:sz w:val="44"/>
        </w:rPr>
      </w:pPr>
    </w:p>
    <w:p>
      <w:pPr>
        <w:widowControl/>
        <w:shd w:val="clear" w:color="auto" w:fill="FFFFFF"/>
        <w:spacing w:line="360" w:lineRule="atLeast"/>
        <w:jc w:val="left"/>
        <w:rPr>
          <w:rFonts w:hint="eastAsia" w:ascii="宋体" w:hAnsi="宋体" w:eastAsia="宋体" w:cs="宋体"/>
          <w:color w:val="333333"/>
          <w:kern w:val="0"/>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38F52F"/>
    <w:multiLevelType w:val="singleLevel"/>
    <w:tmpl w:val="0938F52F"/>
    <w:lvl w:ilvl="0" w:tentative="0">
      <w:start w:val="4"/>
      <w:numFmt w:val="decimal"/>
      <w:lvlText w:val="%1."/>
      <w:lvlJc w:val="left"/>
      <w:pPr>
        <w:tabs>
          <w:tab w:val="left" w:pos="312"/>
        </w:tabs>
      </w:pPr>
    </w:lvl>
  </w:abstractNum>
  <w:abstractNum w:abstractNumId="1">
    <w:nsid w:val="5947F094"/>
    <w:multiLevelType w:val="singleLevel"/>
    <w:tmpl w:val="5947F094"/>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zNDQ2NjU0YzM5MTE2ZDdmYjc1NDgxOWY1MWRkOWYifQ=="/>
  </w:docVars>
  <w:rsids>
    <w:rsidRoot w:val="00172A27"/>
    <w:rsid w:val="00367F37"/>
    <w:rsid w:val="005B7954"/>
    <w:rsid w:val="00C14B91"/>
    <w:rsid w:val="029E162E"/>
    <w:rsid w:val="030671D3"/>
    <w:rsid w:val="04A610B0"/>
    <w:rsid w:val="051931EE"/>
    <w:rsid w:val="05AD3936"/>
    <w:rsid w:val="081A5DC2"/>
    <w:rsid w:val="0837398B"/>
    <w:rsid w:val="08593DF0"/>
    <w:rsid w:val="092E2FE0"/>
    <w:rsid w:val="09A432A2"/>
    <w:rsid w:val="0A014251"/>
    <w:rsid w:val="0A083831"/>
    <w:rsid w:val="0A4C7BC2"/>
    <w:rsid w:val="0AE24082"/>
    <w:rsid w:val="0C692CAD"/>
    <w:rsid w:val="0F2509E1"/>
    <w:rsid w:val="105C6685"/>
    <w:rsid w:val="10A342B4"/>
    <w:rsid w:val="10F42D61"/>
    <w:rsid w:val="123F625E"/>
    <w:rsid w:val="12791770"/>
    <w:rsid w:val="13031039"/>
    <w:rsid w:val="14691370"/>
    <w:rsid w:val="14CB3DD9"/>
    <w:rsid w:val="14FB2910"/>
    <w:rsid w:val="19AA0461"/>
    <w:rsid w:val="1A646862"/>
    <w:rsid w:val="1ABF1CEA"/>
    <w:rsid w:val="1EFF4DAB"/>
    <w:rsid w:val="20541126"/>
    <w:rsid w:val="20C462AC"/>
    <w:rsid w:val="227B299A"/>
    <w:rsid w:val="2331574F"/>
    <w:rsid w:val="250A6257"/>
    <w:rsid w:val="26396DF4"/>
    <w:rsid w:val="275B2D9A"/>
    <w:rsid w:val="27736336"/>
    <w:rsid w:val="27814EF7"/>
    <w:rsid w:val="29C54E43"/>
    <w:rsid w:val="2AE5579D"/>
    <w:rsid w:val="2AF27EBA"/>
    <w:rsid w:val="2B9B4ED2"/>
    <w:rsid w:val="2C5C383D"/>
    <w:rsid w:val="2D960FD0"/>
    <w:rsid w:val="2EBF4557"/>
    <w:rsid w:val="2F176141"/>
    <w:rsid w:val="2FCD67FF"/>
    <w:rsid w:val="3240775C"/>
    <w:rsid w:val="333C43C8"/>
    <w:rsid w:val="355A6D87"/>
    <w:rsid w:val="35B5220F"/>
    <w:rsid w:val="36A4475E"/>
    <w:rsid w:val="36B50719"/>
    <w:rsid w:val="3971644D"/>
    <w:rsid w:val="3A296D28"/>
    <w:rsid w:val="3B4E2EEA"/>
    <w:rsid w:val="3D7A6218"/>
    <w:rsid w:val="3ECA0ADA"/>
    <w:rsid w:val="3EE14075"/>
    <w:rsid w:val="3FE060DB"/>
    <w:rsid w:val="3FE47979"/>
    <w:rsid w:val="43364990"/>
    <w:rsid w:val="435E3EE6"/>
    <w:rsid w:val="4550785F"/>
    <w:rsid w:val="461B60BF"/>
    <w:rsid w:val="47705F96"/>
    <w:rsid w:val="47D209FF"/>
    <w:rsid w:val="48360F8E"/>
    <w:rsid w:val="484A67E7"/>
    <w:rsid w:val="48831CF9"/>
    <w:rsid w:val="48C447EC"/>
    <w:rsid w:val="49AA1C33"/>
    <w:rsid w:val="4AF313B8"/>
    <w:rsid w:val="4BC36FDC"/>
    <w:rsid w:val="4D007DBC"/>
    <w:rsid w:val="4D34642B"/>
    <w:rsid w:val="4F8922EB"/>
    <w:rsid w:val="51B353FD"/>
    <w:rsid w:val="51D51818"/>
    <w:rsid w:val="53220A8C"/>
    <w:rsid w:val="55935C72"/>
    <w:rsid w:val="561623FF"/>
    <w:rsid w:val="59011144"/>
    <w:rsid w:val="591250FF"/>
    <w:rsid w:val="5ABA5A4E"/>
    <w:rsid w:val="5C007491"/>
    <w:rsid w:val="5C4C26D6"/>
    <w:rsid w:val="5CF1327E"/>
    <w:rsid w:val="5D7C523D"/>
    <w:rsid w:val="5DA30A1C"/>
    <w:rsid w:val="60B82A30"/>
    <w:rsid w:val="634405AB"/>
    <w:rsid w:val="63807109"/>
    <w:rsid w:val="64055F8C"/>
    <w:rsid w:val="65841133"/>
    <w:rsid w:val="680B2055"/>
    <w:rsid w:val="683A1F7D"/>
    <w:rsid w:val="6A116D0D"/>
    <w:rsid w:val="6B064398"/>
    <w:rsid w:val="6D396CA7"/>
    <w:rsid w:val="6E2711F5"/>
    <w:rsid w:val="6E301E58"/>
    <w:rsid w:val="6E573888"/>
    <w:rsid w:val="6F0465CD"/>
    <w:rsid w:val="6F524050"/>
    <w:rsid w:val="703F2826"/>
    <w:rsid w:val="7073427E"/>
    <w:rsid w:val="73A67B03"/>
    <w:rsid w:val="798C63B0"/>
    <w:rsid w:val="7A635363"/>
    <w:rsid w:val="7C4371FA"/>
    <w:rsid w:val="7D131D2A"/>
    <w:rsid w:val="7D7004C3"/>
    <w:rsid w:val="7E590F57"/>
    <w:rsid w:val="7F427C3D"/>
    <w:rsid w:val="7FA426A6"/>
    <w:rsid w:val="7FB03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14"/>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15"/>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customStyle="1" w:styleId="11">
    <w:name w:val="页眉 Char"/>
    <w:basedOn w:val="9"/>
    <w:link w:val="6"/>
    <w:semiHidden/>
    <w:qFormat/>
    <w:uiPriority w:val="99"/>
    <w:rPr>
      <w:sz w:val="18"/>
      <w:szCs w:val="18"/>
    </w:rPr>
  </w:style>
  <w:style w:type="character" w:customStyle="1" w:styleId="12">
    <w:name w:val="页脚 Char"/>
    <w:basedOn w:val="9"/>
    <w:link w:val="5"/>
    <w:semiHidden/>
    <w:qFormat/>
    <w:uiPriority w:val="99"/>
    <w:rPr>
      <w:sz w:val="18"/>
      <w:szCs w:val="18"/>
    </w:rPr>
  </w:style>
  <w:style w:type="character" w:customStyle="1" w:styleId="13">
    <w:name w:val="标题 1 Char"/>
    <w:basedOn w:val="9"/>
    <w:link w:val="2"/>
    <w:qFormat/>
    <w:uiPriority w:val="9"/>
    <w:rPr>
      <w:rFonts w:ascii="宋体" w:hAnsi="宋体" w:eastAsia="宋体" w:cs="宋体"/>
      <w:b/>
      <w:bCs/>
      <w:kern w:val="36"/>
      <w:sz w:val="48"/>
      <w:szCs w:val="48"/>
    </w:rPr>
  </w:style>
  <w:style w:type="character" w:customStyle="1" w:styleId="14">
    <w:name w:val="标题 2 Char"/>
    <w:basedOn w:val="9"/>
    <w:link w:val="3"/>
    <w:qFormat/>
    <w:uiPriority w:val="9"/>
    <w:rPr>
      <w:rFonts w:ascii="宋体" w:hAnsi="宋体" w:eastAsia="宋体" w:cs="宋体"/>
      <w:b/>
      <w:bCs/>
      <w:kern w:val="0"/>
      <w:sz w:val="36"/>
      <w:szCs w:val="36"/>
    </w:rPr>
  </w:style>
  <w:style w:type="character" w:customStyle="1" w:styleId="15">
    <w:name w:val="标题 3 Char"/>
    <w:basedOn w:val="9"/>
    <w:link w:val="4"/>
    <w:qFormat/>
    <w:uiPriority w:val="9"/>
    <w:rPr>
      <w:rFonts w:ascii="宋体" w:hAnsi="宋体" w:eastAsia="宋体" w:cs="宋体"/>
      <w:b/>
      <w:bCs/>
      <w:kern w:val="0"/>
      <w:sz w:val="27"/>
      <w:szCs w:val="27"/>
    </w:rPr>
  </w:style>
  <w:style w:type="paragraph" w:customStyle="1" w:styleId="16">
    <w:name w:val="western"/>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592</Words>
  <Characters>3377</Characters>
  <Lines>28</Lines>
  <Paragraphs>7</Paragraphs>
  <TotalTime>7</TotalTime>
  <ScaleCrop>false</ScaleCrop>
  <LinksUpToDate>false</LinksUpToDate>
  <CharactersWithSpaces>3962</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2021-08-19T09:42:00Z</dcterms:created>
  <dc:creator>Administrator</dc:creator>
  <cp:lastModifiedBy>自然资源局耕保股</cp:lastModifiedBy>
  <dcterms:modified xsi:type="dcterms:W3CDTF">2023-12-14T08:31:49Z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2DD8133121054351912A212635EBE102_13</vt:lpwstr>
  </property>
</Properties>
</file>