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2"/>
          <w:szCs w:val="32"/>
        </w:rPr>
      </w:pPr>
      <w:r>
        <w:rPr>
          <w:rFonts w:hint="eastAsia" w:ascii="方正小标宋简体" w:hAnsi="方正小标宋简体" w:eastAsia="方正小标宋简体" w:cs="方正小标宋简体"/>
          <w:sz w:val="44"/>
          <w:szCs w:val="44"/>
          <w:lang w:eastAsia="zh-CN"/>
        </w:rPr>
        <w:t>广东兴宁铁山渡田河</w:t>
      </w:r>
      <w:r>
        <w:rPr>
          <w:rFonts w:hint="eastAsia" w:ascii="方正小标宋简体" w:hAnsi="方正小标宋简体" w:eastAsia="方正小标宋简体" w:cs="方正小标宋简体"/>
          <w:sz w:val="44"/>
          <w:szCs w:val="44"/>
        </w:rPr>
        <w:t>省级自然保护区范围和功能区调整理由及方案</w:t>
      </w:r>
    </w:p>
    <w:p>
      <w:pPr>
        <w:ind w:firstLine="640" w:firstLineChars="200"/>
        <w:rPr>
          <w:rFonts w:ascii="黑体" w:hAnsi="黑体" w:eastAsia="黑体"/>
          <w:sz w:val="32"/>
          <w:szCs w:val="32"/>
        </w:rPr>
      </w:pPr>
      <w:r>
        <w:rPr>
          <w:rFonts w:hint="eastAsia" w:ascii="黑体" w:hAnsi="黑体" w:eastAsia="黑体"/>
          <w:sz w:val="32"/>
          <w:szCs w:val="32"/>
        </w:rPr>
        <w:t>一、范围和功能区调整理由</w:t>
      </w:r>
    </w:p>
    <w:p>
      <w:pPr>
        <w:ind w:firstLine="640" w:firstLineChars="200"/>
        <w:rPr>
          <w:rFonts w:ascii="仿宋" w:hAnsi="仿宋" w:eastAsia="仿宋"/>
          <w:sz w:val="32"/>
          <w:szCs w:val="32"/>
        </w:rPr>
      </w:pPr>
      <w:r>
        <w:rPr>
          <w:rFonts w:hint="eastAsia" w:ascii="仿宋" w:hAnsi="仿宋" w:eastAsia="仿宋"/>
          <w:sz w:val="32"/>
          <w:szCs w:val="32"/>
          <w:lang w:eastAsia="zh-CN"/>
        </w:rPr>
        <w:t>广东兴宁铁山渡田河省级自然保护区于2005年经广东省人民政府批准成立(粤府函〔2005〕87号)。2009年因济广高速公路建设需要，经广东省人民政府批复同意调整(粤林复〔2009〕383号)</w:t>
      </w:r>
      <w:r>
        <w:rPr>
          <w:rFonts w:hint="eastAsia" w:ascii="仿宋" w:hAnsi="仿宋" w:eastAsia="仿宋"/>
          <w:sz w:val="32"/>
          <w:szCs w:val="32"/>
        </w:rPr>
        <w:t>。保护区总面积17347.62公顷（矢量面积），保护区属生态系统类的森林生态系统类型自然保护区，主要保护对象为中亚热带常绿阔叶林为主体的森林生态系统、国家重点保护的珍稀濒危野生动植物资源、水源涵养林和自然景观资源。</w:t>
      </w:r>
    </w:p>
    <w:p>
      <w:pPr>
        <w:ind w:firstLine="640" w:firstLineChars="200"/>
        <w:rPr>
          <w:rFonts w:ascii="仿宋" w:hAnsi="仿宋" w:eastAsia="仿宋"/>
          <w:sz w:val="32"/>
          <w:szCs w:val="32"/>
        </w:rPr>
      </w:pPr>
      <w:r>
        <w:rPr>
          <w:rFonts w:hint="eastAsia" w:ascii="仿宋" w:hAnsi="仿宋" w:eastAsia="仿宋"/>
          <w:sz w:val="32"/>
          <w:szCs w:val="32"/>
        </w:rPr>
        <w:t>河惠莞高速公路龙川至紫金段2018年被列为广东省重点建设项目，麻布岗互通出口至兴宁市罗浮连接线公路工程是该工程的组成部分，根据</w:t>
      </w:r>
      <w:r>
        <w:rPr>
          <w:rFonts w:hint="eastAsia" w:ascii="仿宋" w:hAnsi="仿宋" w:eastAsia="仿宋"/>
          <w:sz w:val="32"/>
          <w:szCs w:val="32"/>
          <w:lang w:val="en-US" w:eastAsia="zh-CN"/>
        </w:rPr>
        <w:t>工程</w:t>
      </w:r>
      <w:r>
        <w:rPr>
          <w:rFonts w:hint="eastAsia" w:ascii="仿宋" w:hAnsi="仿宋" w:eastAsia="仿宋"/>
          <w:sz w:val="32"/>
          <w:szCs w:val="32"/>
        </w:rPr>
        <w:t>线位唯一性论证报告，此连接线无法避让保护区。拟建工程范围涉及保护区核心区、缓冲区，拟调出面积为</w:t>
      </w:r>
      <w:r>
        <w:rPr>
          <w:rFonts w:ascii="仿宋" w:hAnsi="仿宋" w:eastAsia="仿宋"/>
          <w:sz w:val="32"/>
          <w:szCs w:val="32"/>
        </w:rPr>
        <w:t>1</w:t>
      </w:r>
      <w:r>
        <w:rPr>
          <w:rFonts w:hint="eastAsia" w:ascii="仿宋" w:hAnsi="仿宋" w:eastAsia="仿宋"/>
          <w:sz w:val="32"/>
          <w:szCs w:val="32"/>
          <w:lang w:val="en-US" w:eastAsia="zh-CN"/>
        </w:rPr>
        <w:t>0.20</w:t>
      </w:r>
      <w:r>
        <w:rPr>
          <w:rFonts w:hint="eastAsia" w:ascii="仿宋" w:hAnsi="仿宋" w:eastAsia="仿宋"/>
          <w:sz w:val="32"/>
          <w:szCs w:val="32"/>
        </w:rPr>
        <w:t>公顷，在明确了施工管理措施和后续生态恢复措施、尽可能地使保护区内主要保护对象得到有效保护的前提下，根据《广东省自然保护区建立和调整管理规定》（粤府函〔2023〕60号），对保护区的范围和功能区进行调整。</w:t>
      </w:r>
    </w:p>
    <w:p>
      <w:pPr>
        <w:ind w:firstLine="640" w:firstLineChars="200"/>
        <w:rPr>
          <w:rFonts w:ascii="黑体" w:hAnsi="黑体" w:eastAsia="黑体"/>
          <w:sz w:val="32"/>
          <w:szCs w:val="32"/>
        </w:rPr>
      </w:pPr>
      <w:r>
        <w:rPr>
          <w:rFonts w:hint="eastAsia" w:ascii="黑体" w:hAnsi="黑体" w:eastAsia="黑体"/>
          <w:sz w:val="32"/>
          <w:szCs w:val="32"/>
        </w:rPr>
        <w:t>二、范围和功能区调整方案</w:t>
      </w:r>
    </w:p>
    <w:p>
      <w:pPr>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（一）范围调整</w:t>
      </w:r>
    </w:p>
    <w:p>
      <w:pPr>
        <w:ind w:firstLine="640" w:firstLineChars="200"/>
        <w:rPr>
          <w:rFonts w:ascii="仿宋" w:hAnsi="仿宋" w:eastAsia="仿宋"/>
          <w:sz w:val="32"/>
          <w:szCs w:val="32"/>
        </w:rPr>
      </w:pPr>
      <w:r>
        <w:rPr>
          <w:rFonts w:hint="eastAsia" w:ascii="仿宋" w:hAnsi="仿宋" w:eastAsia="仿宋"/>
          <w:sz w:val="32"/>
          <w:szCs w:val="32"/>
        </w:rPr>
        <w:t>1.调出情况：拟将省重点项目麻布岗互通出口至兴宁市罗浮连接线公路工程建设用地涉及保护区的</w:t>
      </w:r>
      <w:r>
        <w:rPr>
          <w:rFonts w:ascii="仿宋" w:hAnsi="仿宋" w:eastAsia="仿宋"/>
          <w:sz w:val="32"/>
          <w:szCs w:val="32"/>
        </w:rPr>
        <w:t>1</w:t>
      </w:r>
      <w:r>
        <w:rPr>
          <w:rFonts w:hint="eastAsia" w:ascii="仿宋" w:hAnsi="仿宋" w:eastAsia="仿宋"/>
          <w:sz w:val="32"/>
          <w:szCs w:val="32"/>
          <w:lang w:val="en-US" w:eastAsia="zh-CN"/>
        </w:rPr>
        <w:t>0.20</w:t>
      </w:r>
      <w:r>
        <w:rPr>
          <w:rFonts w:hint="eastAsia" w:ascii="仿宋" w:hAnsi="仿宋" w:eastAsia="仿宋"/>
          <w:sz w:val="32"/>
          <w:szCs w:val="32"/>
        </w:rPr>
        <w:t>公顷调出保护区范围。</w:t>
      </w:r>
    </w:p>
    <w:p>
      <w:pPr>
        <w:ind w:firstLine="640" w:firstLineChars="200"/>
        <w:rPr>
          <w:rFonts w:ascii="仿宋" w:hAnsi="仿宋" w:eastAsia="仿宋"/>
          <w:sz w:val="32"/>
          <w:szCs w:val="32"/>
        </w:rPr>
      </w:pPr>
      <w:r>
        <w:rPr>
          <w:rFonts w:hint="eastAsia" w:ascii="仿宋" w:hAnsi="仿宋" w:eastAsia="仿宋"/>
          <w:sz w:val="32"/>
          <w:szCs w:val="32"/>
        </w:rPr>
        <w:t>2.调入情况：拟将位于</w:t>
      </w:r>
      <w:r>
        <w:rPr>
          <w:rFonts w:hint="eastAsia" w:ascii="仿宋" w:hAnsi="仿宋" w:eastAsia="仿宋"/>
          <w:sz w:val="32"/>
          <w:szCs w:val="32"/>
          <w:lang w:val="en-US" w:eastAsia="zh-CN"/>
        </w:rPr>
        <w:t>兴宁铁山林场大二工区</w:t>
      </w:r>
      <w:r>
        <w:rPr>
          <w:rFonts w:hint="eastAsia" w:ascii="仿宋" w:hAnsi="仿宋" w:eastAsia="仿宋"/>
          <w:sz w:val="32"/>
          <w:szCs w:val="32"/>
        </w:rPr>
        <w:t>共计</w:t>
      </w:r>
      <w:r>
        <w:rPr>
          <w:rFonts w:hint="eastAsia" w:ascii="仿宋" w:hAnsi="仿宋" w:eastAsia="仿宋"/>
          <w:sz w:val="32"/>
          <w:szCs w:val="32"/>
          <w:lang w:val="en-US" w:eastAsia="zh-CN"/>
        </w:rPr>
        <w:t>13.34</w:t>
      </w:r>
      <w:r>
        <w:rPr>
          <w:rFonts w:hint="eastAsia" w:ascii="仿宋" w:hAnsi="仿宋" w:eastAsia="仿宋"/>
          <w:sz w:val="32"/>
          <w:szCs w:val="32"/>
        </w:rPr>
        <w:t>公顷的</w:t>
      </w:r>
      <w:r>
        <w:rPr>
          <w:rFonts w:hint="eastAsia" w:ascii="仿宋" w:hAnsi="仿宋" w:eastAsia="仿宋"/>
          <w:sz w:val="32"/>
          <w:szCs w:val="32"/>
          <w:lang w:val="en-US" w:eastAsia="zh-CN"/>
        </w:rPr>
        <w:t>林地</w:t>
      </w:r>
      <w:r>
        <w:rPr>
          <w:rFonts w:hint="eastAsia" w:ascii="仿宋" w:hAnsi="仿宋" w:eastAsia="仿宋"/>
          <w:sz w:val="32"/>
          <w:szCs w:val="32"/>
        </w:rPr>
        <w:t>调入保护区。</w:t>
      </w:r>
    </w:p>
    <w:p>
      <w:pPr>
        <w:ind w:firstLine="640" w:firstLineChars="200"/>
        <w:rPr>
          <w:rFonts w:ascii="仿宋" w:hAnsi="仿宋" w:eastAsia="仿宋"/>
          <w:sz w:val="32"/>
          <w:szCs w:val="32"/>
        </w:rPr>
      </w:pPr>
      <w:r>
        <w:rPr>
          <w:rFonts w:hint="eastAsia" w:ascii="仿宋" w:hAnsi="仿宋" w:eastAsia="仿宋"/>
          <w:sz w:val="32"/>
          <w:szCs w:val="32"/>
        </w:rPr>
        <w:t>3.调整结果：保护区范围调整后，总面积17350.76公顷，较调整前面积增加</w:t>
      </w:r>
      <w:r>
        <w:rPr>
          <w:rFonts w:hint="eastAsia" w:ascii="仿宋" w:hAnsi="仿宋" w:eastAsia="仿宋"/>
          <w:sz w:val="32"/>
          <w:szCs w:val="32"/>
          <w:lang w:val="en-US" w:eastAsia="zh-CN"/>
        </w:rPr>
        <w:t>3.14</w:t>
      </w:r>
      <w:r>
        <w:rPr>
          <w:rFonts w:hint="eastAsia" w:ascii="仿宋" w:hAnsi="仿宋" w:eastAsia="仿宋"/>
          <w:sz w:val="32"/>
          <w:szCs w:val="32"/>
        </w:rPr>
        <w:t>公顷。</w:t>
      </w:r>
    </w:p>
    <w:p>
      <w:pPr>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（二）功能分区调整</w:t>
      </w:r>
    </w:p>
    <w:p>
      <w:pPr>
        <w:ind w:firstLine="640" w:firstLineChars="200"/>
        <w:rPr>
          <w:rFonts w:ascii="仿宋" w:hAnsi="仿宋" w:eastAsia="仿宋"/>
          <w:sz w:val="32"/>
          <w:szCs w:val="32"/>
        </w:rPr>
      </w:pPr>
      <w:r>
        <w:rPr>
          <w:rFonts w:hint="eastAsia" w:ascii="仿宋" w:hAnsi="仿宋" w:eastAsia="仿宋"/>
          <w:sz w:val="32"/>
          <w:szCs w:val="32"/>
        </w:rPr>
        <w:t>1.调整为核心区：保护区蛇子岗山峰北部的部分</w:t>
      </w:r>
      <w:r>
        <w:rPr>
          <w:rFonts w:hint="eastAsia" w:ascii="仿宋" w:hAnsi="仿宋" w:eastAsia="仿宋"/>
          <w:sz w:val="32"/>
          <w:szCs w:val="32"/>
          <w:lang w:val="en-US" w:eastAsia="zh-CN"/>
        </w:rPr>
        <w:t>区域</w:t>
      </w:r>
      <w:r>
        <w:rPr>
          <w:rFonts w:hint="eastAsia" w:ascii="仿宋" w:hAnsi="仿宋" w:eastAsia="仿宋"/>
          <w:sz w:val="32"/>
          <w:szCs w:val="32"/>
        </w:rPr>
        <w:t>调</w:t>
      </w:r>
      <w:bookmarkStart w:id="0" w:name="_GoBack"/>
      <w:bookmarkEnd w:id="0"/>
      <w:r>
        <w:rPr>
          <w:rFonts w:hint="eastAsia" w:ascii="仿宋" w:hAnsi="仿宋" w:eastAsia="仿宋"/>
          <w:sz w:val="32"/>
          <w:szCs w:val="32"/>
        </w:rPr>
        <w:t>整为核心区，调整面积40.46公顷。</w:t>
      </w:r>
    </w:p>
    <w:p>
      <w:pPr>
        <w:ind w:firstLine="640" w:firstLineChars="200"/>
        <w:rPr>
          <w:rFonts w:ascii="仿宋" w:hAnsi="仿宋" w:eastAsia="仿宋"/>
          <w:sz w:val="32"/>
          <w:szCs w:val="32"/>
        </w:rPr>
      </w:pPr>
      <w:r>
        <w:rPr>
          <w:rFonts w:hint="eastAsia" w:ascii="仿宋" w:hAnsi="仿宋" w:eastAsia="仿宋"/>
          <w:sz w:val="32"/>
          <w:szCs w:val="32"/>
        </w:rPr>
        <w:t>2.调整为缓冲区：</w:t>
      </w:r>
      <w:r>
        <w:rPr>
          <w:rFonts w:hint="eastAsia" w:ascii="仿宋" w:hAnsi="仿宋" w:eastAsia="仿宋"/>
          <w:sz w:val="32"/>
          <w:szCs w:val="32"/>
          <w:lang w:eastAsia="zh-CN"/>
        </w:rPr>
        <w:t>保护区尖角石山峰东部</w:t>
      </w:r>
      <w:r>
        <w:rPr>
          <w:rFonts w:hint="eastAsia" w:ascii="仿宋" w:hAnsi="仿宋" w:eastAsia="仿宋"/>
          <w:sz w:val="32"/>
          <w:szCs w:val="32"/>
          <w:lang w:val="en-US" w:eastAsia="zh-CN"/>
        </w:rPr>
        <w:t>实验区</w:t>
      </w:r>
      <w:r>
        <w:rPr>
          <w:rFonts w:hint="eastAsia" w:ascii="仿宋" w:hAnsi="仿宋" w:eastAsia="仿宋"/>
          <w:sz w:val="32"/>
          <w:szCs w:val="32"/>
          <w:lang w:eastAsia="zh-CN"/>
        </w:rPr>
        <w:t>调整为缓冲区，调整面积18.39公顷；</w:t>
      </w:r>
      <w:r>
        <w:rPr>
          <w:rFonts w:hint="eastAsia" w:ascii="仿宋" w:hAnsi="仿宋" w:eastAsia="仿宋"/>
          <w:sz w:val="32"/>
          <w:szCs w:val="32"/>
          <w:lang w:val="en-US" w:eastAsia="zh-CN"/>
        </w:rPr>
        <w:t>拟调入区域的</w:t>
      </w:r>
      <w:r>
        <w:rPr>
          <w:rFonts w:hint="eastAsia" w:ascii="仿宋" w:hAnsi="仿宋" w:eastAsia="仿宋"/>
          <w:sz w:val="32"/>
          <w:szCs w:val="32"/>
          <w:lang w:eastAsia="zh-CN"/>
        </w:rPr>
        <w:t>内部区域</w:t>
      </w:r>
      <w:r>
        <w:rPr>
          <w:rFonts w:hint="eastAsia" w:ascii="仿宋" w:hAnsi="仿宋" w:eastAsia="仿宋"/>
          <w:sz w:val="32"/>
          <w:szCs w:val="32"/>
          <w:lang w:val="en-US" w:eastAsia="zh-CN"/>
        </w:rPr>
        <w:t>调整为</w:t>
      </w:r>
      <w:r>
        <w:rPr>
          <w:rFonts w:hint="eastAsia" w:ascii="仿宋" w:hAnsi="仿宋" w:eastAsia="仿宋"/>
          <w:sz w:val="32"/>
          <w:szCs w:val="32"/>
          <w:lang w:eastAsia="zh-CN"/>
        </w:rPr>
        <w:t>缓冲区，面积9.97公顷；以连接线公路中心线为基准线，将基准线两侧50—100米的原保护区的核心区调整为缓冲区，</w:t>
      </w:r>
      <w:r>
        <w:rPr>
          <w:rFonts w:hint="eastAsia" w:ascii="仿宋" w:hAnsi="仿宋" w:eastAsia="仿宋"/>
          <w:sz w:val="32"/>
          <w:szCs w:val="32"/>
          <w:lang w:val="en-US" w:eastAsia="zh-CN"/>
        </w:rPr>
        <w:t>面积19.30</w:t>
      </w:r>
      <w:r>
        <w:rPr>
          <w:rFonts w:hint="eastAsia" w:ascii="仿宋" w:hAnsi="仿宋" w:eastAsia="仿宋"/>
          <w:sz w:val="32"/>
          <w:szCs w:val="32"/>
          <w:lang w:eastAsia="zh-CN"/>
        </w:rPr>
        <w:t>公顷；</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3.调整为实验区：以连接线公路中心线为基准线，将基准线两侧0—50米区域的原保护区的缓冲区（不含调出区域）调整为实验区</w:t>
      </w:r>
      <w:r>
        <w:rPr>
          <w:rFonts w:hint="eastAsia" w:ascii="仿宋" w:hAnsi="仿宋" w:eastAsia="仿宋"/>
          <w:sz w:val="32"/>
          <w:szCs w:val="32"/>
          <w:lang w:eastAsia="zh-CN"/>
        </w:rPr>
        <w:t>，</w:t>
      </w:r>
      <w:r>
        <w:rPr>
          <w:rFonts w:hint="eastAsia" w:ascii="仿宋" w:hAnsi="仿宋" w:eastAsia="仿宋"/>
          <w:sz w:val="32"/>
          <w:szCs w:val="32"/>
          <w:lang w:val="en-US" w:eastAsia="zh-CN"/>
        </w:rPr>
        <w:t>面积14.82公顷；拟调入区域的外部区域调整为实验区，面积3.37公顷</w:t>
      </w:r>
      <w:r>
        <w:rPr>
          <w:rFonts w:hint="eastAsia" w:ascii="仿宋" w:hAnsi="仿宋" w:eastAsia="仿宋"/>
          <w:sz w:val="32"/>
          <w:szCs w:val="32"/>
        </w:rPr>
        <w:t>。</w:t>
      </w:r>
    </w:p>
    <w:p>
      <w:pPr>
        <w:ind w:firstLine="640" w:firstLineChars="200"/>
        <w:rPr>
          <w:rFonts w:ascii="仿宋" w:hAnsi="仿宋" w:eastAsia="仿宋"/>
          <w:sz w:val="32"/>
          <w:szCs w:val="32"/>
        </w:rPr>
      </w:pPr>
      <w:r>
        <w:rPr>
          <w:rFonts w:hint="eastAsia" w:ascii="仿宋" w:hAnsi="仿宋" w:eastAsia="仿宋"/>
          <w:sz w:val="32"/>
          <w:szCs w:val="32"/>
        </w:rPr>
        <w:t>4.调整结果：调整后保护区核心区面积增加</w:t>
      </w:r>
      <w:r>
        <w:rPr>
          <w:rFonts w:hint="eastAsia" w:ascii="仿宋" w:hAnsi="仿宋" w:eastAsia="仿宋"/>
          <w:sz w:val="32"/>
          <w:szCs w:val="32"/>
          <w:lang w:val="en-US" w:eastAsia="zh-CN"/>
        </w:rPr>
        <w:t>1.78</w:t>
      </w:r>
      <w:r>
        <w:rPr>
          <w:rFonts w:hint="eastAsia" w:ascii="仿宋" w:hAnsi="仿宋" w:eastAsia="仿宋"/>
          <w:sz w:val="32"/>
          <w:szCs w:val="32"/>
        </w:rPr>
        <w:t>公顷，缓冲区面积增加</w:t>
      </w:r>
      <w:r>
        <w:rPr>
          <w:rFonts w:hint="eastAsia" w:ascii="仿宋" w:hAnsi="仿宋" w:eastAsia="仿宋"/>
          <w:sz w:val="32"/>
          <w:szCs w:val="32"/>
          <w:lang w:val="en-US" w:eastAsia="zh-CN"/>
        </w:rPr>
        <w:t>1.54</w:t>
      </w:r>
      <w:r>
        <w:rPr>
          <w:rFonts w:hint="eastAsia" w:ascii="仿宋" w:hAnsi="仿宋" w:eastAsia="仿宋"/>
          <w:sz w:val="32"/>
          <w:szCs w:val="32"/>
        </w:rPr>
        <w:t>公顷，实验区面积</w:t>
      </w:r>
      <w:r>
        <w:rPr>
          <w:rFonts w:hint="eastAsia" w:ascii="仿宋" w:hAnsi="仿宋" w:eastAsia="仿宋"/>
          <w:sz w:val="32"/>
          <w:szCs w:val="32"/>
          <w:lang w:val="en-US" w:eastAsia="zh-CN"/>
        </w:rPr>
        <w:t>减少0.18</w:t>
      </w:r>
      <w:r>
        <w:rPr>
          <w:rFonts w:hint="eastAsia" w:ascii="仿宋" w:hAnsi="仿宋" w:eastAsia="仿宋"/>
          <w:sz w:val="32"/>
          <w:szCs w:val="32"/>
        </w:rPr>
        <w:t>公顷，总面积增加</w:t>
      </w:r>
      <w:r>
        <w:rPr>
          <w:rFonts w:hint="eastAsia" w:ascii="仿宋" w:hAnsi="仿宋" w:eastAsia="仿宋"/>
          <w:sz w:val="32"/>
          <w:szCs w:val="32"/>
          <w:lang w:val="en-US" w:eastAsia="zh-CN"/>
        </w:rPr>
        <w:t>3.14</w:t>
      </w:r>
      <w:r>
        <w:rPr>
          <w:rFonts w:hint="eastAsia" w:ascii="仿宋" w:hAnsi="仿宋" w:eastAsia="仿宋"/>
          <w:sz w:val="32"/>
          <w:szCs w:val="32"/>
        </w:rPr>
        <w:t>公顷。</w:t>
      </w:r>
    </w:p>
    <w:p>
      <w:pPr>
        <w:ind w:firstLine="640" w:firstLineChars="200"/>
        <w:rPr>
          <w:rFonts w:hint="eastAsia" w:ascii="黑体" w:hAnsi="黑体" w:eastAsia="黑体"/>
          <w:sz w:val="32"/>
          <w:szCs w:val="32"/>
        </w:rPr>
      </w:pPr>
      <w:r>
        <w:rPr>
          <w:rFonts w:hint="eastAsia" w:ascii="黑体" w:hAnsi="黑体" w:eastAsia="黑体"/>
          <w:sz w:val="32"/>
          <w:szCs w:val="32"/>
        </w:rPr>
        <w:t>三、范围和功能区调整示意图</w:t>
      </w:r>
    </w:p>
    <w:p>
      <w:pPr>
        <w:pStyle w:val="2"/>
        <w:ind w:left="0" w:leftChars="0" w:firstLine="0" w:firstLineChars="0"/>
        <w:rPr>
          <w:rFonts w:hint="eastAsia"/>
          <w:lang w:eastAsia="zh-CN"/>
        </w:rPr>
      </w:pPr>
      <w:r>
        <w:rPr>
          <w:rFonts w:hint="eastAsia"/>
          <w:lang w:eastAsia="zh-CN"/>
        </w:rPr>
        <w:drawing>
          <wp:inline distT="0" distB="0" distL="114300" distR="114300">
            <wp:extent cx="5262245" cy="3721100"/>
            <wp:effectExtent l="0" t="0" r="14605" b="12700"/>
            <wp:docPr id="4" name="图片 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
                    <pic:cNvPicPr>
                      <a:picLocks noChangeAspect="1"/>
                    </pic:cNvPicPr>
                  </pic:nvPicPr>
                  <pic:blipFill>
                    <a:blip r:embed="rId4"/>
                    <a:stretch>
                      <a:fillRect/>
                    </a:stretch>
                  </pic:blipFill>
                  <pic:spPr>
                    <a:xfrm>
                      <a:off x="0" y="0"/>
                      <a:ext cx="5262245" cy="3721100"/>
                    </a:xfrm>
                    <a:prstGeom prst="rect">
                      <a:avLst/>
                    </a:prstGeom>
                  </pic:spPr>
                </pic:pic>
              </a:graphicData>
            </a:graphic>
          </wp:inline>
        </w:drawing>
      </w:r>
    </w:p>
    <w:p>
      <w:pPr>
        <w:pStyle w:val="2"/>
        <w:rPr>
          <w:rFonts w:hint="eastAsia"/>
          <w:lang w:eastAsia="zh-CN"/>
        </w:rPr>
      </w:pPr>
    </w:p>
    <w:p>
      <w:pPr>
        <w:pStyle w:val="2"/>
        <w:ind w:left="0" w:leftChars="0" w:firstLine="0" w:firstLineChars="0"/>
        <w:rPr>
          <w:rFonts w:hint="eastAsia"/>
          <w:lang w:eastAsia="zh-CN"/>
        </w:rPr>
      </w:pPr>
      <w:r>
        <w:rPr>
          <w:rFonts w:hint="eastAsia"/>
          <w:lang w:eastAsia="zh-CN"/>
        </w:rPr>
        <w:drawing>
          <wp:inline distT="0" distB="0" distL="114300" distR="114300">
            <wp:extent cx="5262245" cy="3721100"/>
            <wp:effectExtent l="0" t="0" r="10795" b="12700"/>
            <wp:docPr id="3" name="图片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
                    <pic:cNvPicPr>
                      <a:picLocks noChangeAspect="1"/>
                    </pic:cNvPicPr>
                  </pic:nvPicPr>
                  <pic:blipFill>
                    <a:blip r:embed="rId5"/>
                    <a:stretch>
                      <a:fillRect/>
                    </a:stretch>
                  </pic:blipFill>
                  <pic:spPr>
                    <a:xfrm>
                      <a:off x="0" y="0"/>
                      <a:ext cx="5262245" cy="3721100"/>
                    </a:xfrm>
                    <a:prstGeom prst="rect">
                      <a:avLst/>
                    </a:prstGeom>
                  </pic:spPr>
                </pic:pic>
              </a:graphicData>
            </a:graphic>
          </wp:inline>
        </w:drawing>
      </w:r>
    </w:p>
    <w:p>
      <w:pPr>
        <w:rPr>
          <w:rFonts w:hint="eastAsia" w:eastAsiaTheme="minorEastAsia"/>
          <w:color w:val="FF0000"/>
          <w:lang w:eastAsia="zh-CN"/>
        </w:rPr>
      </w:pPr>
    </w:p>
    <w:p>
      <w:pPr>
        <w:pStyle w:val="2"/>
        <w:ind w:left="0" w:leftChars="0" w:firstLine="0" w:firstLineChars="0"/>
        <w:rPr>
          <w:rFonts w:hint="eastAsia"/>
          <w:lang w:eastAsia="zh-CN"/>
        </w:rPr>
      </w:pPr>
      <w:r>
        <w:rPr>
          <w:rFonts w:hint="eastAsia"/>
          <w:lang w:eastAsia="zh-CN"/>
        </w:rPr>
        <w:drawing>
          <wp:inline distT="0" distB="0" distL="114300" distR="114300">
            <wp:extent cx="5262245" cy="3721100"/>
            <wp:effectExtent l="0" t="0" r="10795" b="12700"/>
            <wp:docPr id="2" name="图片 2"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
                    <pic:cNvPicPr>
                      <a:picLocks noChangeAspect="1"/>
                    </pic:cNvPicPr>
                  </pic:nvPicPr>
                  <pic:blipFill>
                    <a:blip r:embed="rId6"/>
                    <a:stretch>
                      <a:fillRect/>
                    </a:stretch>
                  </pic:blipFill>
                  <pic:spPr>
                    <a:xfrm>
                      <a:off x="0" y="0"/>
                      <a:ext cx="5262245" cy="3721100"/>
                    </a:xfrm>
                    <a:prstGeom prst="rect">
                      <a:avLst/>
                    </a:prstGeom>
                  </pic:spPr>
                </pic:pic>
              </a:graphicData>
            </a:graphic>
          </wp:inline>
        </w:drawing>
      </w:r>
    </w:p>
    <w:p>
      <w:pPr>
        <w:pStyle w:val="2"/>
        <w:ind w:left="0" w:leftChars="0" w:firstLine="0" w:firstLineChars="0"/>
        <w:rPr>
          <w:rFonts w:hint="eastAsia"/>
          <w:lang w:eastAsia="zh-CN"/>
        </w:rPr>
      </w:pPr>
      <w:r>
        <w:rPr>
          <w:rFonts w:hint="eastAsia"/>
          <w:lang w:eastAsia="zh-CN"/>
        </w:rPr>
        <w:drawing>
          <wp:inline distT="0" distB="0" distL="114300" distR="114300">
            <wp:extent cx="5262245" cy="3721100"/>
            <wp:effectExtent l="0" t="0" r="10795" b="12700"/>
            <wp:docPr id="1" name="图片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
                    <pic:cNvPicPr>
                      <a:picLocks noChangeAspect="1"/>
                    </pic:cNvPicPr>
                  </pic:nvPicPr>
                  <pic:blipFill>
                    <a:blip r:embed="rId7"/>
                    <a:stretch>
                      <a:fillRect/>
                    </a:stretch>
                  </pic:blipFill>
                  <pic:spPr>
                    <a:xfrm>
                      <a:off x="0" y="0"/>
                      <a:ext cx="5262245" cy="3721100"/>
                    </a:xfrm>
                    <a:prstGeom prst="rect">
                      <a:avLst/>
                    </a:prstGeom>
                  </pic:spPr>
                </pic:pic>
              </a:graphicData>
            </a:graphic>
          </wp:inline>
        </w:drawing>
      </w:r>
    </w:p>
    <w:p>
      <w:pPr>
        <w:pStyle w:val="2"/>
        <w:ind w:left="0" w:leftChars="0" w:firstLine="0" w:firstLineChars="0"/>
        <w:rPr>
          <w:rFonts w:hint="eastAsia" w:eastAsiaTheme="minorEastAsia"/>
          <w:color w:val="FF0000"/>
          <w:lang w:eastAsia="zh-CN"/>
        </w:rPr>
      </w:pPr>
    </w:p>
    <w:p>
      <w:pPr>
        <w:pStyle w:val="2"/>
        <w:ind w:left="0" w:leftChars="0" w:firstLine="0" w:firstLineChars="0"/>
        <w:rPr>
          <w:rFonts w:hint="eastAsia" w:eastAsiaTheme="minorEastAsia"/>
          <w:color w:val="FF0000"/>
          <w:lang w:eastAsia="zh-CN"/>
        </w:rPr>
      </w:pPr>
    </w:p>
    <w:p>
      <w:pPr>
        <w:pStyle w:val="2"/>
        <w:ind w:firstLine="0"/>
      </w:pPr>
    </w:p>
    <w:p>
      <w:pPr>
        <w:pStyle w:val="2"/>
        <w:ind w:firstLine="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RjYWIxZmZhY2I3NTc4ZDUzYzUwNmI0YmZiMTU4ODgifQ=="/>
  </w:docVars>
  <w:rsids>
    <w:rsidRoot w:val="00F52D06"/>
    <w:rsid w:val="000671F5"/>
    <w:rsid w:val="000E2499"/>
    <w:rsid w:val="00227648"/>
    <w:rsid w:val="00233E0F"/>
    <w:rsid w:val="002752BE"/>
    <w:rsid w:val="002A3776"/>
    <w:rsid w:val="002A486C"/>
    <w:rsid w:val="002D3CA2"/>
    <w:rsid w:val="002E3A12"/>
    <w:rsid w:val="00455BFD"/>
    <w:rsid w:val="00487614"/>
    <w:rsid w:val="004C42BB"/>
    <w:rsid w:val="005125B7"/>
    <w:rsid w:val="00512B8A"/>
    <w:rsid w:val="00524B70"/>
    <w:rsid w:val="00636302"/>
    <w:rsid w:val="00657DFA"/>
    <w:rsid w:val="006F78FE"/>
    <w:rsid w:val="00797C40"/>
    <w:rsid w:val="007B5527"/>
    <w:rsid w:val="008018EA"/>
    <w:rsid w:val="009D08A2"/>
    <w:rsid w:val="009F58A1"/>
    <w:rsid w:val="00A10F15"/>
    <w:rsid w:val="00B2187E"/>
    <w:rsid w:val="00B3373E"/>
    <w:rsid w:val="00B5740F"/>
    <w:rsid w:val="00B67DF6"/>
    <w:rsid w:val="00C057E6"/>
    <w:rsid w:val="00D24967"/>
    <w:rsid w:val="00D614CB"/>
    <w:rsid w:val="00DA6C11"/>
    <w:rsid w:val="00DD5625"/>
    <w:rsid w:val="00EC4C89"/>
    <w:rsid w:val="00F52D06"/>
    <w:rsid w:val="00F53DC7"/>
    <w:rsid w:val="00F800D3"/>
    <w:rsid w:val="00F97D6A"/>
    <w:rsid w:val="00FC72A9"/>
    <w:rsid w:val="03886455"/>
    <w:rsid w:val="120761BD"/>
    <w:rsid w:val="14F22E0D"/>
    <w:rsid w:val="14F87A05"/>
    <w:rsid w:val="19584A74"/>
    <w:rsid w:val="2364391C"/>
    <w:rsid w:val="298B6B4A"/>
    <w:rsid w:val="2D472F6C"/>
    <w:rsid w:val="2D5A1C12"/>
    <w:rsid w:val="35E44746"/>
    <w:rsid w:val="3CB1605B"/>
    <w:rsid w:val="44A10929"/>
    <w:rsid w:val="51A16124"/>
    <w:rsid w:val="68B8235B"/>
    <w:rsid w:val="6A272F45"/>
    <w:rsid w:val="6AFD67D2"/>
    <w:rsid w:val="6CAB0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Plain Text"/>
    <w:basedOn w:val="1"/>
    <w:unhideWhenUsed/>
    <w:qFormat/>
    <w:uiPriority w:val="99"/>
    <w:pPr>
      <w:tabs>
        <w:tab w:val="left" w:pos="4560"/>
      </w:tabs>
      <w:snapToGrid w:val="0"/>
      <w:ind w:firstLine="560"/>
    </w:pPr>
    <w:rPr>
      <w:rFonts w:eastAsia="仿宋_GB2312"/>
      <w:color w:val="000000"/>
      <w:szCs w:val="2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kern w:val="2"/>
      <w:sz w:val="18"/>
      <w:szCs w:val="18"/>
    </w:rPr>
  </w:style>
  <w:style w:type="character" w:customStyle="1" w:styleId="8">
    <w:name w:val="页脚 字符"/>
    <w:basedOn w:val="6"/>
    <w:link w:val="3"/>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876</Words>
  <Characters>972</Characters>
  <Lines>8</Lines>
  <Paragraphs>2</Paragraphs>
  <TotalTime>76</TotalTime>
  <ScaleCrop>false</ScaleCrop>
  <LinksUpToDate>false</LinksUpToDate>
  <CharactersWithSpaces>972</CharactersWithSpaces>
  <Application>WPS Office_12.1.0.15066_F1E327BC-269C-435d-A152-05C5408002CA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2022-11-11T06:15:00Z</dcterms:created>
  <dc:creator>k</dc:creator>
  <cp:lastModifiedBy>道</cp:lastModifiedBy>
  <cp:lastPrinted>2023-10-30T00:32:35Z</cp:lastPrinted>
  <dcterms:modified xsi:type="dcterms:W3CDTF">2023-10-30T02:29:36Z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2052-12.1.0.15066</vt:lpwstr>
  </property>
  <property fmtid="{D5CDD505-2E9C-101B-9397-08002B2CF9AE}" pid="3" name="ribbonExt">
    <vt:lpwstr>{"WPSExtOfficeTab":{"OnGetEnabled":false,"OnGetVisible":false}}</vt:lpwstr>
  </property>
  <property fmtid="{D5CDD505-2E9C-101B-9397-08002B2CF9AE}" pid="4" name="ICV">
    <vt:lpwstr>194CC43791A34284A679C14C7B475881_13</vt:lpwstr>
  </property>
</Properties>
</file>